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D6" w:rsidRPr="005E4E4C" w:rsidRDefault="008F3C12" w:rsidP="005556B4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ПРЕДМЕТНАЯ ОБЛАСТЬ «МАТЕМАТИКА И ИНФОРМАТИКА»</w:t>
      </w:r>
    </w:p>
    <w:p w:rsidR="008F3C12" w:rsidRPr="005E4E4C" w:rsidRDefault="008F3C12" w:rsidP="008F3C1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E4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об изучении </w:t>
      </w:r>
      <w:r w:rsidR="0081402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5E4E4C">
        <w:rPr>
          <w:rFonts w:ascii="Times New Roman" w:eastAsia="Calibri" w:hAnsi="Times New Roman" w:cs="Times New Roman"/>
          <w:b/>
          <w:sz w:val="28"/>
          <w:szCs w:val="28"/>
        </w:rPr>
        <w:t>атематики учащимися, прибывшими из регионов Украины</w:t>
      </w:r>
    </w:p>
    <w:p w:rsidR="008F3C12" w:rsidRPr="005E4E4C" w:rsidRDefault="008F3C12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На Украине так же, как и в Российской Федерации в основной школе математика читается двумя курсами</w:t>
      </w:r>
      <w:r w:rsidR="004B3A67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алгебра и геометрия, а в старшей – алгебра и начала математического анализа</w:t>
      </w:r>
      <w:r w:rsidR="00E96D28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и геометрия. </w:t>
      </w:r>
    </w:p>
    <w:p w:rsidR="008F3C12" w:rsidRPr="005E4E4C" w:rsidRDefault="008F3C12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Курс математики в старшей школе на базовом уровне может читаться одним курсом с использованием последовательной модели (то есть разделы алгебры и начала математического анализа и геометрии преподаются чередованием тем с использованием 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>единого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учебника 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по 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математик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)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F3C12" w:rsidRPr="005E4E4C" w:rsidRDefault="008E0AF9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8F3C12" w:rsidRPr="005E4E4C">
        <w:rPr>
          <w:rStyle w:val="markedcontent"/>
          <w:rFonts w:ascii="Times New Roman" w:hAnsi="Times New Roman" w:cs="Times New Roman"/>
          <w:sz w:val="28"/>
          <w:szCs w:val="28"/>
        </w:rPr>
        <w:t>одержание курса математики в основной и старшей школе в Украине и в России почти полностью совпадают.</w:t>
      </w:r>
    </w:p>
    <w:p w:rsidR="008F3C12" w:rsidRPr="005E4E4C" w:rsidRDefault="008F3C12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учебного материала по годам обучения в основной и старшей школе также в основном совпадают. </w:t>
      </w:r>
    </w:p>
    <w:p w:rsidR="008F3C12" w:rsidRDefault="008F3C12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Так, например, на Украине изучение действий с десятичными дробями рассматривается в 5 классе, а с обыкновенными дробями с разными знаменателями – в 6 классе, как и в большей части российских УМК.</w:t>
      </w:r>
      <w:r w:rsid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Расхождения в построении программ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 Украины и Российской Федерации в большей степени связаны с УМК</w:t>
      </w:r>
      <w:r w:rsid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>по математике и авторским видением построения курса.</w:t>
      </w:r>
      <w:r w:rsidR="00F321B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E0AF9">
        <w:rPr>
          <w:rStyle w:val="markedcontent"/>
          <w:rFonts w:ascii="Times New Roman" w:hAnsi="Times New Roman" w:cs="Times New Roman"/>
          <w:sz w:val="28"/>
          <w:szCs w:val="28"/>
        </w:rPr>
        <w:t>Информация и сравнительная характеристика действующих УМК по математике как в Украине, так и в Российской Федерации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поможет</w:t>
      </w:r>
      <w:r w:rsidR="005E4E4C"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учителю лучше сориентироваться и более качественно организовать работу по адаптации украинских детей к российской образовательной системе.</w:t>
      </w:r>
    </w:p>
    <w:p w:rsidR="008E0AF9" w:rsidRPr="005E4E4C" w:rsidRDefault="008E0AF9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 xml:space="preserve">Если расхождение порядка изучения учебных тем учащимися в Украине с УМК в каком-либо классе нашей школы будет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выявлена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, то следует разработать индивидуальный маршрут обучения, дополнительные модули, использовать для организации обучения возможности технологии смешанного, семейного и дистанционного обучения.</w:t>
      </w:r>
    </w:p>
    <w:p w:rsidR="004F212E" w:rsidRDefault="005E4E4C" w:rsidP="00E9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4C">
        <w:rPr>
          <w:rFonts w:ascii="Times New Roman" w:hAnsi="Times New Roman" w:cs="Times New Roman"/>
          <w:sz w:val="28"/>
          <w:szCs w:val="28"/>
        </w:rPr>
        <w:t xml:space="preserve">Системы оценивания </w:t>
      </w:r>
      <w:r w:rsidR="004B3A67">
        <w:rPr>
          <w:rFonts w:ascii="Times New Roman" w:hAnsi="Times New Roman" w:cs="Times New Roman"/>
          <w:sz w:val="28"/>
          <w:szCs w:val="28"/>
        </w:rPr>
        <w:t xml:space="preserve">в </w:t>
      </w:r>
      <w:r w:rsidRPr="005E4E4C">
        <w:rPr>
          <w:rFonts w:ascii="Times New Roman" w:hAnsi="Times New Roman" w:cs="Times New Roman"/>
          <w:sz w:val="28"/>
          <w:szCs w:val="28"/>
        </w:rPr>
        <w:t>России и Украин</w:t>
      </w:r>
      <w:r w:rsidR="004B3A67">
        <w:rPr>
          <w:rFonts w:ascii="Times New Roman" w:hAnsi="Times New Roman" w:cs="Times New Roman"/>
          <w:sz w:val="28"/>
          <w:szCs w:val="28"/>
        </w:rPr>
        <w:t>е</w:t>
      </w:r>
      <w:r w:rsidRPr="005E4E4C">
        <w:rPr>
          <w:rFonts w:ascii="Times New Roman" w:hAnsi="Times New Roman" w:cs="Times New Roman"/>
          <w:sz w:val="28"/>
          <w:szCs w:val="28"/>
        </w:rPr>
        <w:t xml:space="preserve"> различаются существенным образом.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5E4E4C">
        <w:rPr>
          <w:rFonts w:ascii="Times New Roman" w:hAnsi="Times New Roman" w:cs="Times New Roman"/>
          <w:sz w:val="28"/>
          <w:szCs w:val="28"/>
        </w:rPr>
        <w:t xml:space="preserve"> Украине с 2000 года по указу Министерства образования и науки Украины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E4C">
        <w:rPr>
          <w:rFonts w:ascii="Times New Roman" w:hAnsi="Times New Roman" w:cs="Times New Roman"/>
          <w:sz w:val="28"/>
          <w:szCs w:val="28"/>
        </w:rPr>
        <w:t xml:space="preserve">действует 12-балльная шкала оценивания учебных достижений, которая позволяет проследить динамику образовательных достижений каждого школьника от первого уровня (начального) до четвертого(высокого). </w:t>
      </w:r>
    </w:p>
    <w:p w:rsidR="005E4E4C" w:rsidRDefault="005E4E4C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азличают 4 уровня его усвоения (начальный, средний, достаточный,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E4E4C">
        <w:rPr>
          <w:rStyle w:val="markedcontent"/>
          <w:rFonts w:ascii="Times New Roman" w:hAnsi="Times New Roman" w:cs="Times New Roman"/>
          <w:sz w:val="28"/>
          <w:szCs w:val="28"/>
        </w:rPr>
        <w:t>высокий) в соотношении с 12-балльной шкалой (см. табл.)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1919"/>
        <w:gridCol w:w="2329"/>
        <w:gridCol w:w="3048"/>
        <w:gridCol w:w="2316"/>
      </w:tblGrid>
      <w:tr w:rsidR="00643256" w:rsidTr="004B3A67">
        <w:tc>
          <w:tcPr>
            <w:tcW w:w="4248" w:type="dxa"/>
            <w:gridSpan w:val="2"/>
          </w:tcPr>
          <w:p w:rsidR="00643256" w:rsidRDefault="00643256" w:rsidP="004B3A6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5364" w:type="dxa"/>
            <w:gridSpan w:val="2"/>
          </w:tcPr>
          <w:p w:rsidR="00643256" w:rsidRPr="005E4E4C" w:rsidRDefault="00643256" w:rsidP="004B3A6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643256" w:rsidTr="004B3A67">
        <w:tc>
          <w:tcPr>
            <w:tcW w:w="191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Уровни компетенции</w:t>
            </w:r>
          </w:p>
        </w:tc>
        <w:tc>
          <w:tcPr>
            <w:tcW w:w="2329" w:type="dxa"/>
          </w:tcPr>
          <w:p w:rsidR="00643256" w:rsidRPr="005E4E4C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оценивания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B3A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 xml:space="preserve"> балльной </w:t>
            </w:r>
            <w:r w:rsidR="004B3A67" w:rsidRPr="004B3A67">
              <w:rPr>
                <w:rFonts w:ascii="Times New Roman" w:hAnsi="Times New Roman" w:cs="Times New Roman"/>
                <w:sz w:val="28"/>
                <w:szCs w:val="28"/>
              </w:rPr>
              <w:t>шкале</w:t>
            </w:r>
          </w:p>
        </w:tc>
        <w:tc>
          <w:tcPr>
            <w:tcW w:w="3048" w:type="dxa"/>
          </w:tcPr>
          <w:p w:rsidR="00643256" w:rsidRPr="005E4E4C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оценивания уровня знаний</w:t>
            </w:r>
          </w:p>
        </w:tc>
        <w:tc>
          <w:tcPr>
            <w:tcW w:w="2316" w:type="dxa"/>
          </w:tcPr>
          <w:p w:rsidR="00643256" w:rsidRPr="005E4E4C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оценивания по 5-балльной </w:t>
            </w:r>
            <w:r w:rsidR="004B3A67" w:rsidRPr="004B3A67">
              <w:rPr>
                <w:rFonts w:ascii="Times New Roman" w:hAnsi="Times New Roman" w:cs="Times New Roman"/>
                <w:sz w:val="28"/>
                <w:szCs w:val="28"/>
              </w:rPr>
              <w:t>шкале</w:t>
            </w:r>
          </w:p>
        </w:tc>
      </w:tr>
      <w:tr w:rsidR="00643256" w:rsidTr="004B3A67">
        <w:tc>
          <w:tcPr>
            <w:tcW w:w="191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</w:tc>
        <w:tc>
          <w:tcPr>
            <w:tcW w:w="232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1-3 балла</w:t>
            </w:r>
          </w:p>
        </w:tc>
        <w:tc>
          <w:tcPr>
            <w:tcW w:w="3048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</w:t>
            </w:r>
            <w:r w:rsidR="004B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16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 балла</w:t>
            </w:r>
          </w:p>
        </w:tc>
      </w:tr>
      <w:tr w:rsidR="00643256" w:rsidTr="004B3A67">
        <w:tc>
          <w:tcPr>
            <w:tcW w:w="191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2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4-6 баллов</w:t>
            </w:r>
          </w:p>
        </w:tc>
        <w:tc>
          <w:tcPr>
            <w:tcW w:w="3048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</w:t>
            </w:r>
            <w:r w:rsidR="004B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16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643256" w:rsidTr="004B3A67">
        <w:tc>
          <w:tcPr>
            <w:tcW w:w="191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Достаточный</w:t>
            </w:r>
          </w:p>
        </w:tc>
        <w:tc>
          <w:tcPr>
            <w:tcW w:w="2329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7-9 баллов</w:t>
            </w:r>
          </w:p>
        </w:tc>
        <w:tc>
          <w:tcPr>
            <w:tcW w:w="3048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16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643256" w:rsidTr="004B3A67">
        <w:tc>
          <w:tcPr>
            <w:tcW w:w="1919" w:type="dxa"/>
          </w:tcPr>
          <w:p w:rsidR="00643256" w:rsidRPr="005E4E4C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29" w:type="dxa"/>
          </w:tcPr>
          <w:p w:rsidR="00643256" w:rsidRPr="005E4E4C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E4C">
              <w:rPr>
                <w:rFonts w:ascii="Times New Roman" w:hAnsi="Times New Roman" w:cs="Times New Roman"/>
                <w:sz w:val="28"/>
                <w:szCs w:val="28"/>
              </w:rPr>
              <w:t>10-12 баллов</w:t>
            </w:r>
          </w:p>
        </w:tc>
        <w:tc>
          <w:tcPr>
            <w:tcW w:w="3048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  <w:tc>
          <w:tcPr>
            <w:tcW w:w="2316" w:type="dxa"/>
          </w:tcPr>
          <w:p w:rsidR="00643256" w:rsidRDefault="00643256" w:rsidP="00E90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4F212E" w:rsidRDefault="004F212E" w:rsidP="004F212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>ровень математической подготовки несложно установить, проведя диагностику уровня вычислительной культуры школьника на соответствие базовому уровню математической подготовки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класса, в котором обучается школьник. 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>Для этого достаточно включить в контроль простые задания базового уровня на отдельно взятые действия с натуральными, целыми числами, десятичными дробями,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>обыкновенными дробями с одинаковыми и разными знаменателями, действия со степенями, действия с рациональными и иррациональными числами и т.п.</w:t>
      </w:r>
    </w:p>
    <w:p w:rsidR="004F212E" w:rsidRDefault="004F212E" w:rsidP="004F212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Pr="000F57BE">
        <w:rPr>
          <w:rFonts w:ascii="Times New Roman" w:hAnsi="Times New Roman" w:cs="Times New Roman"/>
          <w:sz w:val="28"/>
          <w:szCs w:val="28"/>
        </w:rPr>
        <w:t xml:space="preserve">ля более детальной </w:t>
      </w:r>
      <w:r>
        <w:rPr>
          <w:rFonts w:ascii="Times New Roman" w:hAnsi="Times New Roman" w:cs="Times New Roman"/>
          <w:sz w:val="28"/>
          <w:szCs w:val="28"/>
        </w:rPr>
        <w:t>диагностики</w:t>
      </w:r>
      <w:r w:rsidRPr="000F57BE">
        <w:rPr>
          <w:rFonts w:ascii="Times New Roman" w:hAnsi="Times New Roman" w:cs="Times New Roman"/>
          <w:sz w:val="28"/>
          <w:szCs w:val="28"/>
        </w:rPr>
        <w:t xml:space="preserve"> базовой математической подготовки учащемуся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7BE">
        <w:rPr>
          <w:rFonts w:ascii="Times New Roman" w:hAnsi="Times New Roman" w:cs="Times New Roman"/>
          <w:sz w:val="28"/>
          <w:szCs w:val="28"/>
        </w:rPr>
        <w:t xml:space="preserve">следует предложить простые задания по ранее изученным </w:t>
      </w:r>
      <w:r>
        <w:rPr>
          <w:rFonts w:ascii="Times New Roman" w:hAnsi="Times New Roman" w:cs="Times New Roman"/>
          <w:sz w:val="28"/>
          <w:szCs w:val="28"/>
        </w:rPr>
        <w:t>темам по программам Российской Федерации</w:t>
      </w:r>
      <w:r w:rsidRPr="000F57BE">
        <w:rPr>
          <w:rFonts w:ascii="Times New Roman" w:hAnsi="Times New Roman" w:cs="Times New Roman"/>
          <w:sz w:val="28"/>
          <w:szCs w:val="28"/>
        </w:rPr>
        <w:t xml:space="preserve">, входящим в объем проверяемого содержания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F57BE">
        <w:rPr>
          <w:rFonts w:ascii="Times New Roman" w:hAnsi="Times New Roman" w:cs="Times New Roman"/>
          <w:sz w:val="28"/>
          <w:szCs w:val="28"/>
        </w:rPr>
        <w:t>итоговой аттестации. С этой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7BE">
        <w:rPr>
          <w:rFonts w:ascii="Times New Roman" w:hAnsi="Times New Roman" w:cs="Times New Roman"/>
          <w:sz w:val="28"/>
          <w:szCs w:val="28"/>
        </w:rPr>
        <w:t>можно использовать имеющиеся дидактические материалы и сборники</w:t>
      </w:r>
      <w:r>
        <w:rPr>
          <w:rFonts w:ascii="Times New Roman" w:hAnsi="Times New Roman" w:cs="Times New Roman"/>
          <w:sz w:val="28"/>
          <w:szCs w:val="28"/>
        </w:rPr>
        <w:t>, входящи</w:t>
      </w:r>
      <w:r w:rsidR="004B3A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действующий УМК, а также</w:t>
      </w:r>
      <w:r w:rsidRPr="000F5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сборники </w:t>
      </w:r>
      <w:r w:rsidRPr="000F57BE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F57BE">
        <w:rPr>
          <w:rFonts w:ascii="Times New Roman" w:hAnsi="Times New Roman" w:cs="Times New Roman"/>
          <w:sz w:val="28"/>
          <w:szCs w:val="28"/>
        </w:rPr>
        <w:t>итоговой аттестации по математике в 9 и 11 классах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7BE">
        <w:t xml:space="preserve"> </w:t>
      </w:r>
    </w:p>
    <w:p w:rsidR="000F57BE" w:rsidRPr="000F57BE" w:rsidRDefault="00643256" w:rsidP="00E9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Особое внимание следует </w:t>
      </w:r>
      <w:r w:rsidR="008E0AF9" w:rsidRPr="008E0AF9">
        <w:rPr>
          <w:rStyle w:val="markedcontent"/>
          <w:rFonts w:ascii="Times New Roman" w:hAnsi="Times New Roman" w:cs="Times New Roman"/>
          <w:sz w:val="28"/>
          <w:szCs w:val="28"/>
        </w:rPr>
        <w:t>обратить на диагностику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 степени сформированности у </w:t>
      </w:r>
      <w:r w:rsidR="008E0AF9" w:rsidRPr="008E0AF9">
        <w:rPr>
          <w:rStyle w:val="markedcontent"/>
          <w:rFonts w:ascii="Times New Roman" w:hAnsi="Times New Roman" w:cs="Times New Roman"/>
          <w:sz w:val="28"/>
          <w:szCs w:val="28"/>
        </w:rPr>
        <w:t>учащихся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E0AF9" w:rsidRPr="008E0AF9">
        <w:rPr>
          <w:rStyle w:val="markedcontent"/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, описанных в государственном стандарте </w:t>
      </w:r>
      <w:r w:rsidRPr="008E0AF9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II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 поколения</w:t>
      </w:r>
      <w:r w:rsidR="008E0AF9" w:rsidRPr="008E0AF9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0F57B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Важно вести персонифицированный учет достижений и отслеживать позитивную динамику развития каждого ученика </w:t>
      </w:r>
      <w:r w:rsidR="008E0AF9" w:rsidRPr="008E0AF9">
        <w:rPr>
          <w:rStyle w:val="markedcontent"/>
          <w:rFonts w:ascii="Times New Roman" w:hAnsi="Times New Roman" w:cs="Times New Roman"/>
          <w:sz w:val="28"/>
          <w:szCs w:val="28"/>
        </w:rPr>
        <w:t>так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8E0AF9" w:rsidRPr="008E0AF9">
        <w:rPr>
          <w:rStyle w:val="markedcontent"/>
          <w:rFonts w:ascii="Times New Roman" w:hAnsi="Times New Roman" w:cs="Times New Roman"/>
          <w:sz w:val="28"/>
          <w:szCs w:val="28"/>
        </w:rPr>
        <w:t xml:space="preserve">чтобы </w:t>
      </w:r>
      <w:r w:rsidRPr="008E0AF9">
        <w:rPr>
          <w:rStyle w:val="markedcontent"/>
          <w:rFonts w:ascii="Times New Roman" w:hAnsi="Times New Roman" w:cs="Times New Roman"/>
          <w:sz w:val="28"/>
          <w:szCs w:val="28"/>
        </w:rPr>
        <w:t>было комфортно и обучающемуся, и учителю.</w:t>
      </w:r>
      <w:r w:rsidR="004F212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F57BE">
        <w:rPr>
          <w:rFonts w:ascii="Times New Roman" w:hAnsi="Times New Roman" w:cs="Times New Roman"/>
          <w:sz w:val="28"/>
          <w:szCs w:val="28"/>
        </w:rPr>
        <w:t>Н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еобходимо, чтобы </w:t>
      </w:r>
      <w:r w:rsidR="00E90612">
        <w:rPr>
          <w:rFonts w:ascii="Times New Roman" w:hAnsi="Times New Roman" w:cs="Times New Roman"/>
          <w:sz w:val="28"/>
          <w:szCs w:val="28"/>
        </w:rPr>
        <w:t>ученик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не испытывал страх</w:t>
      </w:r>
      <w:r w:rsidR="00E90612">
        <w:rPr>
          <w:rFonts w:ascii="Times New Roman" w:hAnsi="Times New Roman" w:cs="Times New Roman"/>
          <w:sz w:val="28"/>
          <w:szCs w:val="28"/>
        </w:rPr>
        <w:t xml:space="preserve"> от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0F57BE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отметки, а был нацелен на</w:t>
      </w:r>
      <w:r w:rsidR="000F57BE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учебную деятельность. Поэтому</w:t>
      </w:r>
      <w:r w:rsidR="00E90612">
        <w:rPr>
          <w:rFonts w:ascii="Times New Roman" w:hAnsi="Times New Roman" w:cs="Times New Roman"/>
          <w:sz w:val="28"/>
          <w:szCs w:val="28"/>
        </w:rPr>
        <w:t xml:space="preserve">, возможно, 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не следует выставлять </w:t>
      </w:r>
      <w:r w:rsidR="00E90612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0F57BE" w:rsidRPr="000F57BE">
        <w:rPr>
          <w:rFonts w:ascii="Times New Roman" w:hAnsi="Times New Roman" w:cs="Times New Roman"/>
          <w:sz w:val="28"/>
          <w:szCs w:val="28"/>
        </w:rPr>
        <w:t>отметк</w:t>
      </w:r>
      <w:r w:rsidR="00E90612">
        <w:rPr>
          <w:rFonts w:ascii="Times New Roman" w:hAnsi="Times New Roman" w:cs="Times New Roman"/>
          <w:sz w:val="28"/>
          <w:szCs w:val="28"/>
        </w:rPr>
        <w:t>и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в баллах (о чем нужно заранее сказать школьнику). Целесообразно воспользоваться дихотомической</w:t>
      </w:r>
      <w:r w:rsidR="00E90612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шкалой – зачет/незачет с последующим анализом и выявлением причин учебных затруднений, оказанием помощи в преодолении установленных затруднений.</w:t>
      </w:r>
    </w:p>
    <w:p w:rsidR="000F57BE" w:rsidRDefault="004F212E" w:rsidP="00E9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можно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использовать такие формы контроля, как устный опрос, собеседование,</w:t>
      </w:r>
      <w:r w:rsidR="000F57BE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математический диктант, проверочная работа, в том числе с использованием заданий</w:t>
      </w:r>
      <w:r w:rsidR="000F57BE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в тестовой форме. Проверку результатов письменных работ следует провести сразу</w:t>
      </w:r>
      <w:r w:rsidR="000F57BE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же по окончании контроля, чтобы ребенок знал, над чем ему следует поработать дома</w:t>
      </w:r>
      <w:r w:rsidR="000F57BE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самостоятельно</w:t>
      </w:r>
      <w:r w:rsidR="000F57BE">
        <w:rPr>
          <w:rFonts w:ascii="Times New Roman" w:hAnsi="Times New Roman" w:cs="Times New Roman"/>
          <w:sz w:val="28"/>
          <w:szCs w:val="28"/>
        </w:rPr>
        <w:t xml:space="preserve">. </w:t>
      </w:r>
      <w:r w:rsidR="000F57BE" w:rsidRPr="000F57BE">
        <w:rPr>
          <w:rFonts w:ascii="Times New Roman" w:hAnsi="Times New Roman" w:cs="Times New Roman"/>
          <w:sz w:val="28"/>
          <w:szCs w:val="28"/>
        </w:rPr>
        <w:t>В случае установления низкого уровня базово</w:t>
      </w:r>
      <w:r w:rsidR="000F57BE">
        <w:rPr>
          <w:rFonts w:ascii="Times New Roman" w:hAnsi="Times New Roman" w:cs="Times New Roman"/>
          <w:sz w:val="28"/>
          <w:szCs w:val="28"/>
        </w:rPr>
        <w:t>й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математической подготовки,</w:t>
      </w:r>
      <w:r w:rsidR="000F57BE">
        <w:rPr>
          <w:rFonts w:ascii="Times New Roman" w:hAnsi="Times New Roman" w:cs="Times New Roman"/>
          <w:sz w:val="28"/>
          <w:szCs w:val="28"/>
        </w:rPr>
        <w:t xml:space="preserve"> </w:t>
      </w:r>
      <w:r w:rsidR="000F57BE" w:rsidRPr="000F57BE">
        <w:rPr>
          <w:rFonts w:ascii="Times New Roman" w:hAnsi="Times New Roman" w:cs="Times New Roman"/>
          <w:sz w:val="28"/>
          <w:szCs w:val="28"/>
        </w:rPr>
        <w:t>следует предложить учащемуся дополнительны</w:t>
      </w:r>
      <w:r w:rsidR="008C01B3">
        <w:rPr>
          <w:rFonts w:ascii="Times New Roman" w:hAnsi="Times New Roman" w:cs="Times New Roman"/>
          <w:sz w:val="28"/>
          <w:szCs w:val="28"/>
        </w:rPr>
        <w:t>е занятия</w:t>
      </w:r>
      <w:r w:rsidR="000F57BE" w:rsidRPr="000F57BE">
        <w:rPr>
          <w:rFonts w:ascii="Times New Roman" w:hAnsi="Times New Roman" w:cs="Times New Roman"/>
          <w:sz w:val="28"/>
          <w:szCs w:val="28"/>
        </w:rPr>
        <w:t xml:space="preserve"> (</w:t>
      </w:r>
      <w:r w:rsidR="00E90612">
        <w:rPr>
          <w:rFonts w:ascii="Times New Roman" w:hAnsi="Times New Roman" w:cs="Times New Roman"/>
          <w:sz w:val="28"/>
          <w:szCs w:val="28"/>
        </w:rPr>
        <w:t>индивидуальные или групповые</w:t>
      </w:r>
      <w:r w:rsidR="000F57BE" w:rsidRPr="000F57BE">
        <w:rPr>
          <w:rFonts w:ascii="Times New Roman" w:hAnsi="Times New Roman" w:cs="Times New Roman"/>
          <w:sz w:val="28"/>
          <w:szCs w:val="28"/>
        </w:rPr>
        <w:t>) по выявленным проблемным вопросам математического содержания (за счет компонента общеобразовательного учреждения). Выстраивая индивидуальный маршрут обучения таких школьников, необходимо использовать технологии смешанного, семейного и дистанционного обучения</w:t>
      </w:r>
      <w:r w:rsidR="00E90612">
        <w:rPr>
          <w:rFonts w:ascii="Times New Roman" w:hAnsi="Times New Roman" w:cs="Times New Roman"/>
          <w:sz w:val="28"/>
          <w:szCs w:val="28"/>
        </w:rPr>
        <w:t>.</w:t>
      </w:r>
    </w:p>
    <w:p w:rsidR="00814029" w:rsidRDefault="00814029" w:rsidP="0081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029">
        <w:rPr>
          <w:rFonts w:ascii="Times New Roman" w:hAnsi="Times New Roman" w:cs="Times New Roman"/>
          <w:sz w:val="28"/>
          <w:szCs w:val="28"/>
        </w:rPr>
        <w:t>Ресурсное обеспечение эффективной деятельности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029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условиях адаптации школьников из Украины к программам по математике в Российской Федерации.</w:t>
      </w:r>
    </w:p>
    <w:p w:rsidR="00814029" w:rsidRDefault="00616C22" w:rsidP="0081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14029" w:rsidRPr="00C02BA5">
          <w:rPr>
            <w:rStyle w:val="a4"/>
            <w:rFonts w:ascii="Times New Roman" w:hAnsi="Times New Roman" w:cs="Times New Roman"/>
            <w:sz w:val="28"/>
            <w:szCs w:val="28"/>
          </w:rPr>
          <w:t>https://www.krippo.ru/index.php/matematika</w:t>
        </w:r>
      </w:hyperlink>
      <w:r w:rsidR="00814029">
        <w:rPr>
          <w:rFonts w:ascii="Times New Roman" w:hAnsi="Times New Roman" w:cs="Times New Roman"/>
          <w:sz w:val="28"/>
          <w:szCs w:val="28"/>
        </w:rPr>
        <w:t xml:space="preserve"> - </w:t>
      </w:r>
      <w:r w:rsidR="00814029" w:rsidRPr="00814029">
        <w:rPr>
          <w:rFonts w:ascii="Times New Roman" w:hAnsi="Times New Roman" w:cs="Times New Roman"/>
          <w:sz w:val="28"/>
          <w:szCs w:val="28"/>
        </w:rPr>
        <w:t>Содержание адаптивных программ по математике для основной и старшей школы (базовый уровень)</w:t>
      </w:r>
      <w:r w:rsidR="00814029">
        <w:rPr>
          <w:rFonts w:ascii="Times New Roman" w:hAnsi="Times New Roman" w:cs="Times New Roman"/>
          <w:sz w:val="28"/>
          <w:szCs w:val="28"/>
        </w:rPr>
        <w:t>. Ресурс содержит подробный сравнительный анализ программ по математике Украины и Российской Федерации для основной и старшей школы.</w:t>
      </w:r>
      <w:r w:rsidR="00B2000F">
        <w:rPr>
          <w:rFonts w:ascii="Times New Roman" w:hAnsi="Times New Roman" w:cs="Times New Roman"/>
          <w:sz w:val="28"/>
          <w:szCs w:val="28"/>
        </w:rPr>
        <w:t xml:space="preserve"> Во второй части </w:t>
      </w:r>
      <w:r w:rsidR="00466C7C">
        <w:rPr>
          <w:rFonts w:ascii="Times New Roman" w:hAnsi="Times New Roman" w:cs="Times New Roman"/>
          <w:sz w:val="28"/>
          <w:szCs w:val="28"/>
        </w:rPr>
        <w:t xml:space="preserve">адаптационных </w:t>
      </w:r>
      <w:r w:rsidR="00B2000F">
        <w:rPr>
          <w:rFonts w:ascii="Times New Roman" w:hAnsi="Times New Roman" w:cs="Times New Roman"/>
          <w:sz w:val="28"/>
          <w:szCs w:val="28"/>
        </w:rPr>
        <w:t>программ и календарно-тематического планирования (2 семестр или 3 и 4 четверти) перечислены темы</w:t>
      </w:r>
      <w:r w:rsidR="0033556D">
        <w:rPr>
          <w:rFonts w:ascii="Times New Roman" w:hAnsi="Times New Roman" w:cs="Times New Roman"/>
          <w:sz w:val="28"/>
          <w:szCs w:val="28"/>
        </w:rPr>
        <w:t xml:space="preserve"> в содержании</w:t>
      </w:r>
      <w:r w:rsidR="00B2000F">
        <w:rPr>
          <w:rFonts w:ascii="Times New Roman" w:hAnsi="Times New Roman" w:cs="Times New Roman"/>
          <w:sz w:val="28"/>
          <w:szCs w:val="28"/>
        </w:rPr>
        <w:t xml:space="preserve">, которые отсутствуют в </w:t>
      </w:r>
      <w:r w:rsidR="0033556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2000F">
        <w:rPr>
          <w:rFonts w:ascii="Times New Roman" w:hAnsi="Times New Roman" w:cs="Times New Roman"/>
          <w:sz w:val="28"/>
          <w:szCs w:val="28"/>
        </w:rPr>
        <w:t>программах по математике</w:t>
      </w:r>
      <w:r w:rsidR="0033556D">
        <w:rPr>
          <w:rFonts w:ascii="Times New Roman" w:hAnsi="Times New Roman" w:cs="Times New Roman"/>
          <w:sz w:val="28"/>
          <w:szCs w:val="28"/>
        </w:rPr>
        <w:t xml:space="preserve"> основной и старшей школы</w:t>
      </w:r>
      <w:r w:rsidR="00B2000F">
        <w:rPr>
          <w:rFonts w:ascii="Times New Roman" w:hAnsi="Times New Roman" w:cs="Times New Roman"/>
          <w:sz w:val="28"/>
          <w:szCs w:val="28"/>
        </w:rPr>
        <w:t xml:space="preserve"> на Украине.</w:t>
      </w:r>
    </w:p>
    <w:p w:rsidR="00234F49" w:rsidRDefault="00616C22" w:rsidP="0081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34F49" w:rsidRPr="00C02BA5">
          <w:rPr>
            <w:rStyle w:val="a4"/>
            <w:rFonts w:ascii="Times New Roman" w:hAnsi="Times New Roman" w:cs="Times New Roman"/>
            <w:sz w:val="28"/>
            <w:szCs w:val="28"/>
          </w:rPr>
          <w:t>http://window.edu.ru/resource/189/75189</w:t>
        </w:r>
      </w:hyperlink>
      <w:r w:rsidR="00234F49">
        <w:rPr>
          <w:rFonts w:ascii="Times New Roman" w:hAnsi="Times New Roman" w:cs="Times New Roman"/>
          <w:sz w:val="28"/>
          <w:szCs w:val="28"/>
        </w:rPr>
        <w:t xml:space="preserve"> </w:t>
      </w:r>
      <w:r w:rsidR="00E83A85">
        <w:rPr>
          <w:rFonts w:ascii="Times New Roman" w:hAnsi="Times New Roman" w:cs="Times New Roman"/>
          <w:sz w:val="28"/>
          <w:szCs w:val="28"/>
        </w:rPr>
        <w:t>–</w:t>
      </w:r>
      <w:r w:rsidR="00234F49">
        <w:rPr>
          <w:rFonts w:ascii="Times New Roman" w:hAnsi="Times New Roman" w:cs="Times New Roman"/>
          <w:sz w:val="28"/>
          <w:szCs w:val="28"/>
        </w:rPr>
        <w:t xml:space="preserve"> </w:t>
      </w:r>
      <w:r w:rsidR="00234F49" w:rsidRPr="00234F49">
        <w:rPr>
          <w:rFonts w:ascii="Times New Roman" w:hAnsi="Times New Roman" w:cs="Times New Roman"/>
          <w:sz w:val="28"/>
          <w:szCs w:val="28"/>
        </w:rPr>
        <w:t>Дополнительн</w:t>
      </w:r>
      <w:r w:rsidR="00234F49">
        <w:rPr>
          <w:rFonts w:ascii="Times New Roman" w:hAnsi="Times New Roman" w:cs="Times New Roman"/>
          <w:sz w:val="28"/>
          <w:szCs w:val="28"/>
        </w:rPr>
        <w:t>ая</w:t>
      </w:r>
      <w:r w:rsidR="00234F49" w:rsidRPr="00234F4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34F49">
        <w:rPr>
          <w:rFonts w:ascii="Times New Roman" w:hAnsi="Times New Roman" w:cs="Times New Roman"/>
          <w:sz w:val="28"/>
          <w:szCs w:val="28"/>
        </w:rPr>
        <w:t>я</w:t>
      </w:r>
      <w:r w:rsidR="00234F49" w:rsidRPr="00234F49">
        <w:rPr>
          <w:rFonts w:ascii="Times New Roman" w:hAnsi="Times New Roman" w:cs="Times New Roman"/>
          <w:sz w:val="28"/>
          <w:szCs w:val="28"/>
        </w:rPr>
        <w:t xml:space="preserve"> об УМК с аналогичным планированием на интернет-портале «Сетевое образование. Экспертиза. Учебники»</w:t>
      </w:r>
      <w:r w:rsidR="00234F49">
        <w:rPr>
          <w:rFonts w:ascii="Times New Roman" w:hAnsi="Times New Roman" w:cs="Times New Roman"/>
          <w:sz w:val="28"/>
          <w:szCs w:val="28"/>
        </w:rPr>
        <w:t>.</w:t>
      </w:r>
      <w:r w:rsidR="00234F49" w:rsidRPr="00234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49" w:rsidRDefault="00616C22" w:rsidP="0081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34F49" w:rsidRPr="00C02BA5">
          <w:rPr>
            <w:rStyle w:val="a4"/>
            <w:rFonts w:ascii="Times New Roman" w:hAnsi="Times New Roman" w:cs="Times New Roman"/>
            <w:sz w:val="28"/>
            <w:szCs w:val="28"/>
          </w:rPr>
          <w:t>http://www.parta.com.ua/school_program/</w:t>
        </w:r>
      </w:hyperlink>
      <w:r w:rsidR="00234F49">
        <w:rPr>
          <w:rFonts w:ascii="Times New Roman" w:hAnsi="Times New Roman" w:cs="Times New Roman"/>
          <w:sz w:val="28"/>
          <w:szCs w:val="28"/>
        </w:rPr>
        <w:t xml:space="preserve"> </w:t>
      </w:r>
      <w:r w:rsidR="00E83A85">
        <w:rPr>
          <w:rFonts w:ascii="Times New Roman" w:hAnsi="Times New Roman" w:cs="Times New Roman"/>
          <w:sz w:val="28"/>
          <w:szCs w:val="28"/>
        </w:rPr>
        <w:t>–</w:t>
      </w:r>
      <w:r w:rsidR="00234F49">
        <w:rPr>
          <w:rFonts w:ascii="Times New Roman" w:hAnsi="Times New Roman" w:cs="Times New Roman"/>
          <w:sz w:val="28"/>
          <w:szCs w:val="28"/>
        </w:rPr>
        <w:t xml:space="preserve"> </w:t>
      </w:r>
      <w:r w:rsidR="00234F49" w:rsidRPr="00234F49">
        <w:rPr>
          <w:rFonts w:ascii="Times New Roman" w:hAnsi="Times New Roman" w:cs="Times New Roman"/>
          <w:sz w:val="28"/>
          <w:szCs w:val="28"/>
        </w:rPr>
        <w:t>Программы и учебники по математике в школах Украины</w:t>
      </w:r>
      <w:r w:rsidR="00234F49">
        <w:rPr>
          <w:rFonts w:ascii="Times New Roman" w:hAnsi="Times New Roman" w:cs="Times New Roman"/>
          <w:sz w:val="28"/>
          <w:szCs w:val="28"/>
        </w:rPr>
        <w:t>.</w:t>
      </w:r>
    </w:p>
    <w:p w:rsidR="00B2000F" w:rsidRDefault="00616C22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hyperlink r:id="rId7" w:history="1">
        <w:r w:rsidR="00B2000F" w:rsidRPr="00C02BA5">
          <w:rPr>
            <w:rStyle w:val="a4"/>
            <w:rFonts w:ascii="Times New Roman" w:hAnsi="Times New Roman" w:cs="Times New Roman"/>
            <w:sz w:val="28"/>
            <w:szCs w:val="28"/>
          </w:rPr>
          <w:t>http://www.intellectcntre.ru</w:t>
        </w:r>
      </w:hyperlink>
      <w:r w:rsidR="00B200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C01B3" w:rsidRPr="008C01B3">
        <w:rPr>
          <w:rStyle w:val="markedcontent"/>
          <w:rFonts w:ascii="Times New Roman" w:hAnsi="Times New Roman" w:cs="Times New Roman"/>
          <w:sz w:val="28"/>
          <w:szCs w:val="28"/>
        </w:rPr>
        <w:t xml:space="preserve"> – </w:t>
      </w:r>
      <w:r w:rsidR="00466C7C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8C01B3" w:rsidRPr="008C01B3">
        <w:rPr>
          <w:rStyle w:val="markedcontent"/>
          <w:rFonts w:ascii="Times New Roman" w:hAnsi="Times New Roman" w:cs="Times New Roman"/>
          <w:sz w:val="28"/>
          <w:szCs w:val="28"/>
        </w:rPr>
        <w:t>айт издательства «Интеллект-Центр», содержит</w:t>
      </w:r>
      <w:r w:rsidR="0081402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C01B3" w:rsidRPr="008C01B3">
        <w:rPr>
          <w:rStyle w:val="markedcontent"/>
          <w:rFonts w:ascii="Times New Roman" w:hAnsi="Times New Roman" w:cs="Times New Roman"/>
          <w:sz w:val="28"/>
          <w:szCs w:val="28"/>
        </w:rPr>
        <w:t>учебно-тренировочные материалы для подготовки к ЕГЭ по математике, сборники</w:t>
      </w:r>
      <w:r w:rsidR="0081402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C01B3" w:rsidRPr="008C01B3">
        <w:rPr>
          <w:rStyle w:val="markedcontent"/>
          <w:rFonts w:ascii="Times New Roman" w:hAnsi="Times New Roman" w:cs="Times New Roman"/>
          <w:sz w:val="28"/>
          <w:szCs w:val="28"/>
        </w:rPr>
        <w:t>тестовых заданий.</w:t>
      </w:r>
    </w:p>
    <w:p w:rsidR="004F212E" w:rsidRDefault="00616C22" w:rsidP="0033556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33556D" w:rsidRPr="0033556D">
          <w:rPr>
            <w:rStyle w:val="a4"/>
            <w:rFonts w:ascii="Times New Roman" w:hAnsi="Times New Roman"/>
            <w:sz w:val="28"/>
            <w:szCs w:val="28"/>
            <w:lang w:eastAsia="ru-RU"/>
          </w:rPr>
          <w:t>http://methath.chat.ru</w:t>
        </w:r>
      </w:hyperlink>
      <w:r w:rsidR="0033556D" w:rsidRP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– Методика преподавания математики Материалы по методике преподавания математики; обсуждение наболевших вопросов преподавания математики в средней школе. Авторы — учителя математики, имеющие большой опыт преподавательской и методической работы</w:t>
      </w:r>
      <w:r w:rsidR="004F21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F212E" w:rsidRPr="004F212E" w:rsidRDefault="00616C22" w:rsidP="004F212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4F212E" w:rsidRPr="00C02BA5">
          <w:rPr>
            <w:rStyle w:val="a4"/>
            <w:rFonts w:ascii="Times New Roman" w:hAnsi="Times New Roman"/>
            <w:sz w:val="28"/>
            <w:szCs w:val="28"/>
            <w:lang w:eastAsia="ru-RU"/>
          </w:rPr>
          <w:t>http://teacher.ru</w:t>
        </w:r>
      </w:hyperlink>
      <w:r w:rsidR="004F21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212E" w:rsidRPr="004F21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</w:t>
      </w:r>
      <w:proofErr w:type="spellStart"/>
      <w:r w:rsidR="004F212E" w:rsidRPr="004F212E">
        <w:rPr>
          <w:rFonts w:ascii="Times New Roman" w:hAnsi="Times New Roman"/>
          <w:color w:val="000000"/>
          <w:sz w:val="28"/>
          <w:szCs w:val="28"/>
          <w:lang w:eastAsia="ru-RU"/>
        </w:rPr>
        <w:t>Учитель.ру</w:t>
      </w:r>
      <w:proofErr w:type="spellEnd"/>
      <w:r w:rsidR="004F212E" w:rsidRPr="004F212E">
        <w:rPr>
          <w:rFonts w:ascii="Times New Roman" w:hAnsi="Times New Roman"/>
          <w:color w:val="000000"/>
          <w:sz w:val="28"/>
          <w:szCs w:val="28"/>
          <w:lang w:eastAsia="ru-RU"/>
        </w:rPr>
        <w:t>». Педагогические мастерские, Интернет-образование. Дистанционное образование. Каталог ресурсов «в помощь учителю».</w:t>
      </w:r>
    </w:p>
    <w:p w:rsidR="0033556D" w:rsidRPr="0033556D" w:rsidRDefault="00616C22" w:rsidP="0033556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33556D" w:rsidRPr="00C02BA5">
          <w:rPr>
            <w:rStyle w:val="a4"/>
            <w:rFonts w:ascii="Times New Roman" w:hAnsi="Times New Roman"/>
            <w:sz w:val="28"/>
            <w:szCs w:val="28"/>
            <w:lang w:eastAsia="ru-RU"/>
          </w:rPr>
          <w:t>https://uchebniki-online.net/</w:t>
        </w:r>
      </w:hyperlink>
      <w:r w:rsid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3556D" w:rsidRP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3A8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66C7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33556D" w:rsidRP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айт учебники </w:t>
      </w:r>
      <w:r w:rsid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Украины </w:t>
      </w:r>
      <w:r w:rsidR="0033556D" w:rsidRPr="0033556D">
        <w:rPr>
          <w:rFonts w:ascii="Times New Roman" w:hAnsi="Times New Roman"/>
          <w:color w:val="000000"/>
          <w:sz w:val="28"/>
          <w:szCs w:val="28"/>
          <w:lang w:eastAsia="ru-RU"/>
        </w:rPr>
        <w:t>онлайн</w:t>
      </w:r>
      <w:r w:rsidR="004F21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355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3556D" w:rsidRPr="0033556D" w:rsidRDefault="00616C22" w:rsidP="0033556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hyperlink r:id="rId11" w:history="1">
        <w:r w:rsidR="0033556D" w:rsidRPr="00C02BA5">
          <w:rPr>
            <w:rStyle w:val="a4"/>
            <w:rFonts w:ascii="Times New Roman" w:hAnsi="Times New Roman" w:cs="Times New Roman"/>
            <w:sz w:val="28"/>
            <w:szCs w:val="28"/>
          </w:rPr>
          <w:t>http://www.prosv.ru</w:t>
        </w:r>
      </w:hyperlink>
      <w:r w:rsidR="003355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3556D" w:rsidRPr="003355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83A85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33556D" w:rsidRPr="003355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6C7C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33556D" w:rsidRPr="0033556D">
        <w:rPr>
          <w:rStyle w:val="markedcontent"/>
          <w:rFonts w:ascii="Times New Roman" w:hAnsi="Times New Roman" w:cs="Times New Roman"/>
          <w:sz w:val="28"/>
          <w:szCs w:val="28"/>
        </w:rPr>
        <w:t>айт издательства «Просвещение»</w:t>
      </w:r>
      <w:r w:rsidR="004F212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3556D" w:rsidRDefault="00616C22" w:rsidP="0033556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hyperlink r:id="rId12" w:history="1">
        <w:r w:rsidR="0033556D" w:rsidRPr="00C02BA5">
          <w:rPr>
            <w:rStyle w:val="a4"/>
            <w:rFonts w:ascii="Times New Roman" w:hAnsi="Times New Roman" w:cs="Times New Roman"/>
            <w:sz w:val="28"/>
            <w:szCs w:val="28"/>
          </w:rPr>
          <w:t>http://vvww.vgf.ru/</w:t>
        </w:r>
      </w:hyperlink>
      <w:r w:rsidR="003355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3556D" w:rsidRPr="003355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83A85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33556D" w:rsidRPr="0033556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66C7C"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33556D" w:rsidRPr="0033556D">
        <w:rPr>
          <w:rStyle w:val="markedcontent"/>
          <w:rFonts w:ascii="Times New Roman" w:hAnsi="Times New Roman" w:cs="Times New Roman"/>
          <w:sz w:val="28"/>
          <w:szCs w:val="28"/>
        </w:rPr>
        <w:t>айт Издательского центра «ВЕНТАНА-ГРАФ»</w:t>
      </w:r>
      <w:r w:rsidR="004F212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3556D" w:rsidRDefault="0033556D" w:rsidP="00B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00F" w:rsidRDefault="00B2000F" w:rsidP="00B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B1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</w:p>
    <w:p w:rsidR="00B2000F" w:rsidRDefault="00B2000F" w:rsidP="00B2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CB1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</w:t>
      </w:r>
      <w:r w:rsidRPr="000C1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Т.В. </w:t>
      </w:r>
      <w:r>
        <w:rPr>
          <w:rFonts w:ascii="Times New Roman" w:hAnsi="Times New Roman" w:cs="Times New Roman"/>
          <w:b/>
          <w:sz w:val="28"/>
          <w:szCs w:val="28"/>
        </w:rPr>
        <w:t>Корзун</w:t>
      </w:r>
    </w:p>
    <w:p w:rsidR="00B2000F" w:rsidRDefault="00B2000F" w:rsidP="00E90612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sectPr w:rsidR="00B2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2"/>
    <w:rsid w:val="000140D6"/>
    <w:rsid w:val="000153F3"/>
    <w:rsid w:val="0006178D"/>
    <w:rsid w:val="000F57BE"/>
    <w:rsid w:val="00234F49"/>
    <w:rsid w:val="002D529D"/>
    <w:rsid w:val="0033556D"/>
    <w:rsid w:val="00445F97"/>
    <w:rsid w:val="00466C7C"/>
    <w:rsid w:val="004B3A67"/>
    <w:rsid w:val="004F212E"/>
    <w:rsid w:val="005556B4"/>
    <w:rsid w:val="005E4E4C"/>
    <w:rsid w:val="00643256"/>
    <w:rsid w:val="00661DE9"/>
    <w:rsid w:val="00814029"/>
    <w:rsid w:val="008C01B3"/>
    <w:rsid w:val="008E0AF9"/>
    <w:rsid w:val="008F3C12"/>
    <w:rsid w:val="00B2000F"/>
    <w:rsid w:val="00E83A85"/>
    <w:rsid w:val="00E90612"/>
    <w:rsid w:val="00E96D28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D5D4"/>
  <w15:chartTrackingRefBased/>
  <w15:docId w15:val="{3B14C9E2-2A28-4784-A945-2500EA43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F3C12"/>
  </w:style>
  <w:style w:type="table" w:styleId="a3">
    <w:name w:val="Table Grid"/>
    <w:basedOn w:val="a1"/>
    <w:uiPriority w:val="39"/>
    <w:rsid w:val="005E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40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hath.cha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llectcntre.ru" TargetMode="External"/><Relationship Id="rId12" Type="http://schemas.openxmlformats.org/officeDocument/2006/relationships/hyperlink" Target="http://vvww.vg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ta.com.ua/school_program/" TargetMode="External"/><Relationship Id="rId11" Type="http://schemas.openxmlformats.org/officeDocument/2006/relationships/hyperlink" Target="http://www.prosv.ru" TargetMode="External"/><Relationship Id="rId5" Type="http://schemas.openxmlformats.org/officeDocument/2006/relationships/hyperlink" Target="http://window.edu.ru/resource/189/75189" TargetMode="External"/><Relationship Id="rId10" Type="http://schemas.openxmlformats.org/officeDocument/2006/relationships/hyperlink" Target="https://uchebniki-online.net/" TargetMode="External"/><Relationship Id="rId4" Type="http://schemas.openxmlformats.org/officeDocument/2006/relationships/hyperlink" Target="https://www.krippo.ru/index.php/matematika" TargetMode="External"/><Relationship Id="rId9" Type="http://schemas.openxmlformats.org/officeDocument/2006/relationships/hyperlink" Target="http://teach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2022-03-28T07:56:00Z</dcterms:created>
  <dcterms:modified xsi:type="dcterms:W3CDTF">2022-03-28T11:39:00Z</dcterms:modified>
</cp:coreProperties>
</file>