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57CBA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ОБРАЗОВАНИЯ,</w:t>
      </w: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57CBA">
        <w:rPr>
          <w:rFonts w:ascii="Times New Roman" w:hAnsi="Times New Roman"/>
          <w:b/>
          <w:color w:val="000000"/>
          <w:sz w:val="28"/>
          <w:szCs w:val="28"/>
          <w:lang w:val="ru-RU"/>
        </w:rPr>
        <w:t>НАУКИ И МОЛОДЕЖИ РЕСПУБЛИКИ КРЫМ</w:t>
      </w: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57CB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КРЫМСКИЙ РЕСПУБЛИКАНСКИЙ ИНСТИТУТ ПОСТДИПЛОМНОГО </w:t>
      </w: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57CBA">
        <w:rPr>
          <w:rFonts w:ascii="Times New Roman" w:hAnsi="Times New Roman"/>
          <w:b/>
          <w:color w:val="000000"/>
          <w:sz w:val="28"/>
          <w:szCs w:val="28"/>
          <w:lang w:val="ru-RU"/>
        </w:rPr>
        <w:t>ПЕДАГОГИЧЕСКОГО ОБРАЗОВАНИЯ</w:t>
      </w: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57CBA">
        <w:rPr>
          <w:rFonts w:ascii="Times New Roman" w:hAnsi="Times New Roman"/>
          <w:b/>
          <w:color w:val="000000"/>
          <w:sz w:val="28"/>
          <w:szCs w:val="28"/>
          <w:lang w:val="ru-RU"/>
        </w:rPr>
        <w:t>ВСЕРОССИЙСКАЯ НАУЧНАЯ КОНФЕРЕНЦИЯ</w:t>
      </w: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57CBA">
        <w:rPr>
          <w:rFonts w:ascii="Times New Roman" w:hAnsi="Times New Roman"/>
          <w:b/>
          <w:color w:val="000000"/>
          <w:sz w:val="28"/>
          <w:szCs w:val="28"/>
          <w:lang w:val="ru-RU"/>
        </w:rPr>
        <w:t>«КРЫМОВЕДЕНИЕ: ИТОГИ И ПЕРСПЕКТИВЫ»</w:t>
      </w: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>УВАЖАЕМЫЕ КОЛЛЕГИ!</w:t>
      </w:r>
    </w:p>
    <w:p w:rsidR="00E650CE" w:rsidRPr="00957CBA" w:rsidRDefault="00E650CE" w:rsidP="00E650CE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50CE" w:rsidRPr="00957CBA" w:rsidRDefault="00957CBA" w:rsidP="00E650CE">
      <w:pPr>
        <w:shd w:val="clear" w:color="auto" w:fill="FFFFFF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>Приглашаем вас принять участие во Всероссийской научной конференции «</w:t>
      </w:r>
      <w:proofErr w:type="spellStart"/>
      <w:r w:rsidRPr="00957CBA">
        <w:rPr>
          <w:rFonts w:ascii="Times New Roman" w:hAnsi="Times New Roman"/>
          <w:sz w:val="28"/>
          <w:szCs w:val="28"/>
          <w:lang w:val="ru-RU"/>
        </w:rPr>
        <w:t>Крымоведение</w:t>
      </w:r>
      <w:proofErr w:type="spellEnd"/>
      <w:r w:rsidRPr="00957CBA">
        <w:rPr>
          <w:rFonts w:ascii="Times New Roman" w:hAnsi="Times New Roman"/>
          <w:sz w:val="28"/>
          <w:szCs w:val="28"/>
          <w:lang w:val="ru-RU"/>
        </w:rPr>
        <w:t xml:space="preserve">: итоги и перспективы», </w:t>
      </w:r>
      <w:r w:rsidR="000D596C" w:rsidRPr="00957CBA">
        <w:rPr>
          <w:rFonts w:ascii="Times New Roman" w:hAnsi="Times New Roman"/>
          <w:sz w:val="28"/>
          <w:szCs w:val="28"/>
          <w:lang w:val="ru-RU"/>
        </w:rPr>
        <w:t>которая будет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проходить в г. Симферополе с </w:t>
      </w:r>
      <w:r w:rsidR="000D596C" w:rsidRPr="00957CBA">
        <w:rPr>
          <w:rFonts w:ascii="Times New Roman" w:hAnsi="Times New Roman"/>
          <w:sz w:val="28"/>
          <w:szCs w:val="28"/>
          <w:lang w:val="ru-RU"/>
        </w:rPr>
        <w:t>20 по</w:t>
      </w:r>
      <w:r w:rsidR="00E650CE" w:rsidRPr="00957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7CBA">
        <w:rPr>
          <w:rFonts w:ascii="Times New Roman" w:hAnsi="Times New Roman"/>
          <w:sz w:val="28"/>
          <w:szCs w:val="28"/>
          <w:lang w:val="ru-RU"/>
        </w:rPr>
        <w:t>21</w:t>
      </w:r>
      <w:r w:rsidR="00E650CE" w:rsidRPr="00957CBA">
        <w:rPr>
          <w:rFonts w:ascii="Times New Roman" w:hAnsi="Times New Roman"/>
          <w:sz w:val="28"/>
          <w:szCs w:val="28"/>
          <w:lang w:val="ru-RU"/>
        </w:rPr>
        <w:t xml:space="preserve"> октября 2016 г. </w:t>
      </w:r>
      <w:r w:rsidRPr="00957CBA">
        <w:rPr>
          <w:rFonts w:ascii="Times New Roman" w:hAnsi="Times New Roman"/>
          <w:sz w:val="28"/>
          <w:szCs w:val="28"/>
          <w:lang w:val="ru-RU"/>
        </w:rPr>
        <w:t>Н</w:t>
      </w:r>
      <w:r w:rsidR="00E650CE" w:rsidRPr="00957CBA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957CBA">
        <w:rPr>
          <w:rFonts w:ascii="Times New Roman" w:hAnsi="Times New Roman"/>
          <w:sz w:val="28"/>
          <w:szCs w:val="28"/>
          <w:lang w:val="ru-RU"/>
        </w:rPr>
        <w:t>конференции</w:t>
      </w:r>
      <w:r w:rsidR="00E650CE" w:rsidRPr="00957CBA">
        <w:rPr>
          <w:rFonts w:ascii="Times New Roman" w:hAnsi="Times New Roman"/>
          <w:sz w:val="28"/>
          <w:szCs w:val="28"/>
          <w:lang w:val="ru-RU"/>
        </w:rPr>
        <w:t xml:space="preserve"> предполагается обсуждение </w:t>
      </w:r>
      <w:r w:rsidR="00E650CE" w:rsidRPr="00957CBA">
        <w:rPr>
          <w:rFonts w:ascii="Times New Roman" w:hAnsi="Times New Roman"/>
          <w:b/>
          <w:sz w:val="28"/>
          <w:szCs w:val="28"/>
          <w:lang w:val="ru-RU"/>
        </w:rPr>
        <w:t>следующих проблем</w:t>
      </w:r>
      <w:r w:rsidR="00E650CE" w:rsidRPr="00957CBA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E650CE" w:rsidRPr="00957CBA" w:rsidRDefault="00E650CE" w:rsidP="00E650CE">
      <w:pPr>
        <w:numPr>
          <w:ilvl w:val="0"/>
          <w:numId w:val="1"/>
        </w:numPr>
        <w:ind w:right="-1"/>
        <w:outlineLvl w:val="0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>Краеведение как основа формирования целостного образа региона.</w:t>
      </w:r>
    </w:p>
    <w:p w:rsidR="000202DC" w:rsidRPr="00957CBA" w:rsidRDefault="00957CBA" w:rsidP="00E650CE">
      <w:pPr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Основные этапы развития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F64220" w:rsidRPr="00957CBA">
        <w:rPr>
          <w:rFonts w:ascii="Times New Roman" w:hAnsi="Times New Roman"/>
          <w:sz w:val="28"/>
          <w:szCs w:val="28"/>
          <w:lang w:val="ru-RU"/>
        </w:rPr>
        <w:t>рымов</w:t>
      </w:r>
      <w:bookmarkStart w:id="0" w:name="_GoBack"/>
      <w:bookmarkEnd w:id="0"/>
      <w:r w:rsidR="00F64220" w:rsidRPr="00957CBA">
        <w:rPr>
          <w:rFonts w:ascii="Times New Roman" w:hAnsi="Times New Roman"/>
          <w:sz w:val="28"/>
          <w:szCs w:val="28"/>
          <w:lang w:val="ru-RU"/>
        </w:rPr>
        <w:t>едения</w:t>
      </w:r>
      <w:proofErr w:type="spellEnd"/>
      <w:r w:rsidR="00F64220" w:rsidRPr="00957CBA">
        <w:rPr>
          <w:rFonts w:ascii="Times New Roman" w:hAnsi="Times New Roman"/>
          <w:sz w:val="28"/>
          <w:szCs w:val="28"/>
          <w:lang w:val="ru-RU"/>
        </w:rPr>
        <w:t>.</w:t>
      </w:r>
    </w:p>
    <w:p w:rsidR="00E650CE" w:rsidRPr="00957CBA" w:rsidRDefault="000202DC" w:rsidP="00E650CE">
      <w:pPr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 xml:space="preserve">Современное состояние </w:t>
      </w:r>
      <w:r w:rsidR="00C71C3A" w:rsidRPr="00957CBA">
        <w:rPr>
          <w:rFonts w:ascii="Times New Roman" w:hAnsi="Times New Roman"/>
          <w:sz w:val="28"/>
          <w:szCs w:val="28"/>
          <w:lang w:val="ru-RU"/>
        </w:rPr>
        <w:t>краеведческих исследований в Крыму.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64220" w:rsidRPr="00957CBA" w:rsidRDefault="00957CBA" w:rsidP="00E650CE">
      <w:pPr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Интегрирующая функция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F64220" w:rsidRPr="00957CBA">
        <w:rPr>
          <w:rFonts w:ascii="Times New Roman" w:hAnsi="Times New Roman"/>
          <w:sz w:val="28"/>
          <w:szCs w:val="28"/>
          <w:lang w:val="ru-RU"/>
        </w:rPr>
        <w:t>рымоведения</w:t>
      </w:r>
      <w:proofErr w:type="spellEnd"/>
      <w:r w:rsidR="00F64220" w:rsidRPr="00957CBA">
        <w:rPr>
          <w:rFonts w:ascii="Times New Roman" w:hAnsi="Times New Roman"/>
          <w:sz w:val="28"/>
          <w:szCs w:val="28"/>
          <w:lang w:val="ru-RU"/>
        </w:rPr>
        <w:t xml:space="preserve"> как </w:t>
      </w:r>
      <w:proofErr w:type="spellStart"/>
      <w:r w:rsidR="00F64220" w:rsidRPr="00957CBA">
        <w:rPr>
          <w:rFonts w:ascii="Times New Roman" w:hAnsi="Times New Roman"/>
          <w:sz w:val="28"/>
          <w:szCs w:val="28"/>
          <w:lang w:val="ru-RU"/>
        </w:rPr>
        <w:t>межпредметной</w:t>
      </w:r>
      <w:proofErr w:type="spellEnd"/>
      <w:r w:rsidR="00F64220" w:rsidRPr="00957CBA">
        <w:rPr>
          <w:rFonts w:ascii="Times New Roman" w:hAnsi="Times New Roman"/>
          <w:sz w:val="28"/>
          <w:szCs w:val="28"/>
          <w:lang w:val="ru-RU"/>
        </w:rPr>
        <w:t xml:space="preserve"> области знаний:</w:t>
      </w:r>
    </w:p>
    <w:p w:rsidR="00F64220" w:rsidRPr="00957CBA" w:rsidRDefault="00F64220" w:rsidP="00F6422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>Природное краеведение;</w:t>
      </w:r>
    </w:p>
    <w:p w:rsidR="00F64220" w:rsidRPr="00957CBA" w:rsidRDefault="00F64220" w:rsidP="00F6422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>Историческое краеведение;</w:t>
      </w:r>
    </w:p>
    <w:p w:rsidR="00F64220" w:rsidRPr="00957CBA" w:rsidRDefault="00F64220" w:rsidP="00F6422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>Литературное краеведение;</w:t>
      </w:r>
    </w:p>
    <w:p w:rsidR="00F64220" w:rsidRPr="00957CBA" w:rsidRDefault="00957CBA" w:rsidP="00F64220">
      <w:pPr>
        <w:pStyle w:val="a3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Социо</w:t>
      </w:r>
      <w:r w:rsidR="00F64220" w:rsidRPr="00957CBA">
        <w:rPr>
          <w:rFonts w:ascii="Times New Roman" w:hAnsi="Times New Roman"/>
          <w:sz w:val="28"/>
          <w:szCs w:val="28"/>
          <w:lang w:val="ru-RU"/>
        </w:rPr>
        <w:t>культурное краеведение.</w:t>
      </w:r>
    </w:p>
    <w:p w:rsidR="00E650CE" w:rsidRPr="00957CBA" w:rsidRDefault="00F64220" w:rsidP="00E650CE">
      <w:pPr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>Роль курса «Крымоведение» в формировании патриотизма и р</w:t>
      </w:r>
      <w:r w:rsidR="00957CBA">
        <w:rPr>
          <w:rFonts w:ascii="Times New Roman" w:hAnsi="Times New Roman"/>
          <w:sz w:val="28"/>
          <w:szCs w:val="28"/>
          <w:lang w:val="ru-RU"/>
        </w:rPr>
        <w:t xml:space="preserve">оссийской идентичности </w:t>
      </w:r>
      <w:r w:rsidRPr="00957CBA">
        <w:rPr>
          <w:rFonts w:ascii="Times New Roman" w:hAnsi="Times New Roman"/>
          <w:sz w:val="28"/>
          <w:szCs w:val="28"/>
          <w:lang w:val="ru-RU"/>
        </w:rPr>
        <w:t>школьников.</w:t>
      </w:r>
    </w:p>
    <w:p w:rsidR="00E650CE" w:rsidRPr="00957CBA" w:rsidRDefault="00F64220" w:rsidP="00E650CE">
      <w:pPr>
        <w:numPr>
          <w:ilvl w:val="0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>Учебно-методические аспекты преподавания учебного курса «Крымоведение» в образовательных организациях Республики Крым</w:t>
      </w:r>
      <w:r w:rsidR="00E650CE" w:rsidRPr="00957CBA">
        <w:rPr>
          <w:rFonts w:ascii="Times New Roman" w:hAnsi="Times New Roman"/>
          <w:sz w:val="28"/>
          <w:szCs w:val="28"/>
          <w:lang w:val="ru-RU"/>
        </w:rPr>
        <w:t>.</w:t>
      </w:r>
    </w:p>
    <w:p w:rsidR="00E650CE" w:rsidRPr="00957CBA" w:rsidRDefault="00E650CE" w:rsidP="00E650CE">
      <w:pPr>
        <w:ind w:left="360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CE" w:rsidRPr="00957CBA" w:rsidRDefault="00E650CE" w:rsidP="000202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 xml:space="preserve">Оргкомитет принимает заявки и статьи для публикации в сборнике </w:t>
      </w:r>
      <w:r w:rsidR="00F64220" w:rsidRPr="00957CBA">
        <w:rPr>
          <w:rFonts w:ascii="Times New Roman" w:hAnsi="Times New Roman"/>
          <w:sz w:val="28"/>
          <w:szCs w:val="28"/>
          <w:lang w:val="ru-RU"/>
        </w:rPr>
        <w:t>конференции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F64220" w:rsidRPr="00957CBA">
        <w:rPr>
          <w:rFonts w:ascii="Times New Roman" w:hAnsi="Times New Roman"/>
          <w:b/>
          <w:sz w:val="28"/>
          <w:szCs w:val="28"/>
          <w:lang w:val="ru-RU"/>
        </w:rPr>
        <w:t>15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>.0</w:t>
      </w:r>
      <w:r w:rsidR="00F64220" w:rsidRPr="00957CBA">
        <w:rPr>
          <w:rFonts w:ascii="Times New Roman" w:hAnsi="Times New Roman"/>
          <w:b/>
          <w:sz w:val="28"/>
          <w:szCs w:val="28"/>
          <w:lang w:val="ru-RU"/>
        </w:rPr>
        <w:t>9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>.2016 года</w:t>
      </w:r>
      <w:r w:rsidRPr="00957CBA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Статьи (объем </w:t>
      </w:r>
      <w:r w:rsidR="00957CBA">
        <w:rPr>
          <w:rFonts w:ascii="Times New Roman" w:hAnsi="Times New Roman"/>
          <w:sz w:val="28"/>
          <w:szCs w:val="28"/>
          <w:lang w:val="ru-RU"/>
        </w:rPr>
        <w:t>3-6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страниц) и заявки (ФИО, должность, место работы, секция, в которой планируется доклад, адрес и телефон) направлять в электронном виде на адрес: </w:t>
      </w:r>
      <w:r w:rsidR="00F64220" w:rsidRPr="00957CBA">
        <w:rPr>
          <w:rFonts w:ascii="Times New Roman" w:eastAsia="Calibri" w:hAnsi="Times New Roman"/>
          <w:sz w:val="28"/>
          <w:szCs w:val="28"/>
          <w:lang w:val="ru-RU" w:eastAsia="en-US"/>
        </w:rPr>
        <w:t>svet.omelchenko@mail.ru</w:t>
      </w:r>
      <w:r w:rsidR="00F64220" w:rsidRPr="00957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7CBA">
        <w:rPr>
          <w:rFonts w:ascii="Times New Roman" w:hAnsi="Times New Roman"/>
          <w:sz w:val="28"/>
          <w:szCs w:val="28"/>
          <w:lang w:val="ru-RU"/>
        </w:rPr>
        <w:t>(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>при отправке обязательно запросить подтверждение о получении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). Всем участникам в заявке 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>обязательно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указать 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>электронный адрес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для рассылки приглашений.</w:t>
      </w:r>
    </w:p>
    <w:p w:rsidR="00E650CE" w:rsidRPr="00957CBA" w:rsidRDefault="00E650CE" w:rsidP="00E650CE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57CBA">
        <w:rPr>
          <w:rFonts w:ascii="Times New Roman" w:hAnsi="Times New Roman"/>
          <w:b/>
          <w:sz w:val="28"/>
          <w:szCs w:val="28"/>
          <w:lang w:val="ru-RU"/>
        </w:rPr>
        <w:t xml:space="preserve">Оргкомитет </w:t>
      </w:r>
      <w:r w:rsidR="000202DC" w:rsidRPr="00957CB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 xml:space="preserve"> информирует, что рассылка сборника материалов по почте производиться не будет, материалы </w:t>
      </w:r>
      <w:r w:rsidR="00957CBA">
        <w:rPr>
          <w:rFonts w:ascii="Times New Roman" w:hAnsi="Times New Roman"/>
          <w:b/>
          <w:sz w:val="28"/>
          <w:szCs w:val="28"/>
          <w:lang w:val="ru-RU"/>
        </w:rPr>
        <w:t>конференции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 xml:space="preserve"> будут доступны на сайте </w:t>
      </w:r>
      <w:r w:rsidRPr="00957CBA">
        <w:rPr>
          <w:rFonts w:ascii="Times New Roman" w:hAnsi="Times New Roman"/>
          <w:b/>
          <w:sz w:val="28"/>
          <w:szCs w:val="28"/>
        </w:rPr>
        <w:t>www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>.krippo.ru.</w:t>
      </w:r>
    </w:p>
    <w:p w:rsidR="00E650CE" w:rsidRPr="00957CBA" w:rsidRDefault="00E650CE" w:rsidP="00E650CE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ab/>
        <w:t xml:space="preserve">О </w:t>
      </w:r>
      <w:r w:rsidR="000D596C" w:rsidRPr="00957CBA">
        <w:rPr>
          <w:rFonts w:ascii="Times New Roman" w:hAnsi="Times New Roman"/>
          <w:sz w:val="28"/>
          <w:szCs w:val="28"/>
          <w:lang w:val="ru-RU"/>
        </w:rPr>
        <w:t>размещении участников Оргкомитет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сообщит в следующем информационном письме. Дополнительную информацию об условиях участия в </w:t>
      </w:r>
      <w:r w:rsidR="000202DC" w:rsidRPr="00957CBA">
        <w:rPr>
          <w:rFonts w:ascii="Times New Roman" w:hAnsi="Times New Roman"/>
          <w:sz w:val="28"/>
          <w:szCs w:val="28"/>
          <w:lang w:val="ru-RU"/>
        </w:rPr>
        <w:t>конференции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Вы можете получить по телефону в Симферополе +7 978 </w:t>
      </w:r>
      <w:r w:rsidR="000202DC" w:rsidRPr="00957CBA">
        <w:rPr>
          <w:rFonts w:ascii="Times New Roman" w:hAnsi="Times New Roman"/>
          <w:sz w:val="28"/>
          <w:szCs w:val="28"/>
          <w:lang w:val="ru-RU"/>
        </w:rPr>
        <w:t>7114200</w:t>
      </w:r>
      <w:r w:rsidRPr="00957CBA">
        <w:rPr>
          <w:rFonts w:ascii="Times New Roman" w:hAnsi="Times New Roman"/>
          <w:sz w:val="28"/>
          <w:szCs w:val="28"/>
          <w:lang w:val="ru-RU"/>
        </w:rPr>
        <w:t xml:space="preserve"> с 10 до 18 часов или по электронной почте: </w:t>
      </w:r>
      <w:hyperlink r:id="rId5" w:history="1">
        <w:r w:rsidR="000202DC" w:rsidRPr="00957CB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suprychev</w:t>
        </w:r>
        <w:r w:rsidR="000202DC" w:rsidRPr="00957C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@</w:t>
        </w:r>
        <w:r w:rsidR="000202DC" w:rsidRPr="00957CB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mail</w:t>
        </w:r>
        <w:r w:rsidR="000202DC" w:rsidRPr="00957C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0202DC" w:rsidRPr="00957CB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E650CE" w:rsidRPr="00957CBA" w:rsidRDefault="00E650CE" w:rsidP="00E650CE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57CBA">
        <w:rPr>
          <w:rFonts w:ascii="Times New Roman" w:hAnsi="Times New Roman"/>
          <w:sz w:val="28"/>
          <w:szCs w:val="28"/>
          <w:lang w:val="ru-RU"/>
        </w:rPr>
        <w:tab/>
      </w:r>
    </w:p>
    <w:p w:rsidR="00E650CE" w:rsidRPr="00957CBA" w:rsidRDefault="00E650CE" w:rsidP="00E650CE">
      <w:pPr>
        <w:ind w:right="-1" w:firstLine="708"/>
        <w:rPr>
          <w:rFonts w:ascii="Times New Roman" w:hAnsi="Times New Roman"/>
          <w:b/>
          <w:sz w:val="28"/>
          <w:szCs w:val="28"/>
          <w:lang w:val="ru-RU"/>
        </w:rPr>
      </w:pPr>
      <w:r w:rsidRPr="00957CBA">
        <w:rPr>
          <w:rFonts w:ascii="Times New Roman" w:hAnsi="Times New Roman"/>
          <w:b/>
          <w:sz w:val="28"/>
          <w:szCs w:val="28"/>
          <w:lang w:val="ru-RU"/>
        </w:rPr>
        <w:t>Председатель Оргкомитета</w:t>
      </w:r>
      <w:r w:rsidRPr="00957CBA">
        <w:rPr>
          <w:rFonts w:ascii="Times New Roman" w:hAnsi="Times New Roman"/>
          <w:b/>
          <w:sz w:val="28"/>
          <w:szCs w:val="28"/>
          <w:lang w:val="ru-RU"/>
        </w:rPr>
        <w:tab/>
      </w:r>
      <w:r w:rsidRPr="00957CBA">
        <w:rPr>
          <w:rFonts w:ascii="Times New Roman" w:hAnsi="Times New Roman"/>
          <w:b/>
          <w:sz w:val="28"/>
          <w:szCs w:val="28"/>
          <w:lang w:val="ru-RU"/>
        </w:rPr>
        <w:tab/>
      </w:r>
      <w:r w:rsidRPr="00957CBA">
        <w:rPr>
          <w:rFonts w:ascii="Times New Roman" w:hAnsi="Times New Roman"/>
          <w:b/>
          <w:sz w:val="28"/>
          <w:szCs w:val="28"/>
          <w:lang w:val="ru-RU"/>
        </w:rPr>
        <w:tab/>
      </w:r>
      <w:r w:rsidRPr="00957CBA">
        <w:rPr>
          <w:rFonts w:ascii="Times New Roman" w:hAnsi="Times New Roman"/>
          <w:b/>
          <w:sz w:val="28"/>
          <w:szCs w:val="28"/>
          <w:lang w:val="ru-RU"/>
        </w:rPr>
        <w:tab/>
      </w:r>
      <w:r w:rsidR="00957CBA">
        <w:rPr>
          <w:rFonts w:ascii="Times New Roman" w:hAnsi="Times New Roman"/>
          <w:b/>
          <w:sz w:val="28"/>
          <w:szCs w:val="28"/>
          <w:lang w:val="ru-RU"/>
        </w:rPr>
        <w:tab/>
      </w:r>
      <w:r w:rsidR="00957CBA">
        <w:rPr>
          <w:rFonts w:ascii="Times New Roman" w:hAnsi="Times New Roman"/>
          <w:b/>
          <w:sz w:val="28"/>
          <w:szCs w:val="28"/>
          <w:lang w:val="ru-RU"/>
        </w:rPr>
        <w:tab/>
      </w:r>
      <w:r w:rsidRPr="00957CBA">
        <w:rPr>
          <w:rFonts w:ascii="Times New Roman" w:hAnsi="Times New Roman"/>
          <w:b/>
          <w:sz w:val="28"/>
          <w:szCs w:val="28"/>
          <w:lang w:val="ru-RU"/>
        </w:rPr>
        <w:t>А.Н. Рудяков</w:t>
      </w:r>
    </w:p>
    <w:p w:rsidR="00E650CE" w:rsidRPr="002E02A3" w:rsidRDefault="00E650CE" w:rsidP="00957CBA">
      <w:pPr>
        <w:ind w:right="-1" w:firstLine="709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2E02A3">
        <w:rPr>
          <w:rFonts w:ascii="Times New Roman" w:hAnsi="Times New Roman"/>
          <w:b/>
          <w:sz w:val="22"/>
          <w:szCs w:val="22"/>
          <w:lang w:val="ru-RU"/>
        </w:rPr>
        <w:lastRenderedPageBreak/>
        <w:t>Требования к оформлению статей:</w:t>
      </w:r>
    </w:p>
    <w:p w:rsidR="00E650CE" w:rsidRPr="002E02A3" w:rsidRDefault="00E650CE" w:rsidP="00957CBA">
      <w:pPr>
        <w:ind w:right="-1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На первой странице печатаются: </w:t>
      </w:r>
      <w:r w:rsidR="000B7CEA">
        <w:rPr>
          <w:rFonts w:ascii="Times New Roman" w:hAnsi="Times New Roman"/>
          <w:b/>
          <w:bCs/>
          <w:iCs/>
          <w:sz w:val="22"/>
          <w:szCs w:val="22"/>
          <w:lang w:val="ru-RU"/>
        </w:rPr>
        <w:t>обсуждаемая проблема</w:t>
      </w:r>
      <w:r w:rsidRPr="002E02A3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, </w:t>
      </w:r>
      <w:r w:rsidR="000B7CEA">
        <w:rPr>
          <w:rFonts w:ascii="Times New Roman" w:hAnsi="Times New Roman"/>
          <w:b/>
          <w:bCs/>
          <w:iCs/>
          <w:sz w:val="22"/>
          <w:szCs w:val="22"/>
          <w:lang w:val="ru-RU"/>
        </w:rPr>
        <w:t>по</w:t>
      </w:r>
      <w:r w:rsidRPr="002E02A3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 к</w:t>
      </w:r>
      <w:r w:rsidR="00957CBA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оторой планируется доклад; </w:t>
      </w:r>
      <w:r w:rsidRPr="002E02A3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сведения об авторе (Ф.И.О., должность, степень, место работы); </w:t>
      </w:r>
      <w:r w:rsidR="000D596C" w:rsidRPr="002E02A3">
        <w:rPr>
          <w:rFonts w:ascii="Times New Roman" w:hAnsi="Times New Roman"/>
          <w:b/>
          <w:bCs/>
          <w:iCs/>
          <w:sz w:val="22"/>
          <w:szCs w:val="22"/>
          <w:lang w:val="ru-RU"/>
        </w:rPr>
        <w:t>название статьи</w:t>
      </w:r>
      <w:r w:rsidRPr="002E02A3">
        <w:rPr>
          <w:rFonts w:ascii="Times New Roman" w:hAnsi="Times New Roman"/>
          <w:b/>
          <w:bCs/>
          <w:iCs/>
          <w:sz w:val="22"/>
          <w:szCs w:val="22"/>
          <w:lang w:val="ru-RU"/>
        </w:rPr>
        <w:t>. На русском и английском языках даютс</w:t>
      </w:r>
      <w:r w:rsidR="00957CBA">
        <w:rPr>
          <w:rFonts w:ascii="Times New Roman" w:hAnsi="Times New Roman"/>
          <w:b/>
          <w:bCs/>
          <w:iCs/>
          <w:sz w:val="22"/>
          <w:szCs w:val="22"/>
          <w:lang w:val="ru-RU"/>
        </w:rPr>
        <w:t>я краткие аннотации (не более 25</w:t>
      </w:r>
      <w:r w:rsidRPr="002E02A3">
        <w:rPr>
          <w:rFonts w:ascii="Times New Roman" w:hAnsi="Times New Roman"/>
          <w:b/>
          <w:bCs/>
          <w:iCs/>
          <w:sz w:val="22"/>
          <w:szCs w:val="22"/>
          <w:lang w:val="ru-RU"/>
        </w:rPr>
        <w:t>0 знаков); ключевые слова (не более 5).</w:t>
      </w:r>
    </w:p>
    <w:p w:rsidR="00E650CE" w:rsidRPr="002E02A3" w:rsidRDefault="00E650CE" w:rsidP="00957CBA">
      <w:pPr>
        <w:ind w:right="-1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>Кегль – 14; междустрочный интервал – полуторный; шрифт</w:t>
      </w:r>
      <w:r w:rsidRPr="002E02A3">
        <w:rPr>
          <w:rFonts w:ascii="Times New Roman" w:hAnsi="Times New Roman"/>
          <w:bCs/>
          <w:caps/>
          <w:sz w:val="22"/>
          <w:szCs w:val="22"/>
          <w:lang w:val="ru-RU"/>
        </w:rPr>
        <w:t xml:space="preserve"> – </w:t>
      </w:r>
      <w:r w:rsidRPr="002E02A3">
        <w:rPr>
          <w:rFonts w:ascii="Times New Roman" w:hAnsi="Times New Roman"/>
          <w:bCs/>
          <w:caps/>
          <w:sz w:val="22"/>
          <w:szCs w:val="22"/>
        </w:rPr>
        <w:t>Times</w:t>
      </w:r>
      <w:r w:rsidRPr="002E02A3">
        <w:rPr>
          <w:rFonts w:ascii="Times New Roman" w:hAnsi="Times New Roman"/>
          <w:bCs/>
          <w:caps/>
          <w:sz w:val="22"/>
          <w:szCs w:val="22"/>
          <w:lang w:val="ru-RU"/>
        </w:rPr>
        <w:t xml:space="preserve"> </w:t>
      </w:r>
      <w:r w:rsidRPr="002E02A3">
        <w:rPr>
          <w:rFonts w:ascii="Times New Roman" w:hAnsi="Times New Roman"/>
          <w:bCs/>
          <w:caps/>
          <w:sz w:val="22"/>
          <w:szCs w:val="22"/>
        </w:rPr>
        <w:t>New</w:t>
      </w:r>
      <w:r w:rsidRPr="002E02A3">
        <w:rPr>
          <w:rFonts w:ascii="Times New Roman" w:hAnsi="Times New Roman"/>
          <w:bCs/>
          <w:caps/>
          <w:sz w:val="22"/>
          <w:szCs w:val="22"/>
          <w:lang w:val="ru-RU"/>
        </w:rPr>
        <w:t xml:space="preserve"> </w:t>
      </w:r>
      <w:r w:rsidRPr="002E02A3">
        <w:rPr>
          <w:rFonts w:ascii="Times New Roman" w:hAnsi="Times New Roman"/>
          <w:bCs/>
          <w:caps/>
          <w:sz w:val="22"/>
          <w:szCs w:val="22"/>
        </w:rPr>
        <w:t>Roman</w:t>
      </w:r>
      <w:r w:rsidRPr="002E02A3">
        <w:rPr>
          <w:rFonts w:ascii="Times New Roman" w:hAnsi="Times New Roman"/>
          <w:bCs/>
          <w:caps/>
          <w:sz w:val="22"/>
          <w:szCs w:val="22"/>
          <w:lang w:val="ru-RU"/>
        </w:rPr>
        <w:t xml:space="preserve">; </w:t>
      </w:r>
      <w:r w:rsidRPr="002E02A3">
        <w:rPr>
          <w:rFonts w:ascii="Times New Roman" w:hAnsi="Times New Roman"/>
          <w:iCs/>
          <w:sz w:val="22"/>
          <w:szCs w:val="22"/>
          <w:lang w:val="ru-RU"/>
        </w:rPr>
        <w:t>формат страницы</w:t>
      </w:r>
      <w:r>
        <w:rPr>
          <w:rFonts w:ascii="Times New Roman" w:hAnsi="Times New Roman"/>
          <w:sz w:val="22"/>
          <w:szCs w:val="22"/>
        </w:rPr>
        <w:t> </w:t>
      </w:r>
      <w:r w:rsidR="000D596C" w:rsidRPr="002E02A3">
        <w:rPr>
          <w:rFonts w:ascii="Times New Roman" w:hAnsi="Times New Roman"/>
          <w:sz w:val="22"/>
          <w:szCs w:val="22"/>
          <w:lang w:val="ru-RU"/>
        </w:rPr>
        <w:t>– А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 4; </w:t>
      </w:r>
      <w:r w:rsidRPr="002E02A3">
        <w:rPr>
          <w:rFonts w:ascii="Times New Roman" w:hAnsi="Times New Roman"/>
          <w:iCs/>
          <w:sz w:val="22"/>
          <w:szCs w:val="22"/>
          <w:lang w:val="ru-RU"/>
        </w:rPr>
        <w:t>параметры страницы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 – все поля по </w:t>
      </w:r>
      <w:smartTag w:uri="urn:schemas-microsoft-com:office:smarttags" w:element="metricconverter">
        <w:smartTagPr>
          <w:attr w:name="ProductID" w:val="2 см"/>
        </w:smartTagPr>
        <w:r w:rsidRPr="002E02A3">
          <w:rPr>
            <w:rFonts w:ascii="Times New Roman" w:hAnsi="Times New Roman"/>
            <w:sz w:val="22"/>
            <w:szCs w:val="22"/>
            <w:lang w:val="ru-RU"/>
          </w:rPr>
          <w:t>2 см</w:t>
        </w:r>
      </w:smartTag>
      <w:r w:rsidRPr="002E02A3">
        <w:rPr>
          <w:rFonts w:ascii="Times New Roman" w:hAnsi="Times New Roman"/>
          <w:sz w:val="22"/>
          <w:szCs w:val="22"/>
          <w:lang w:val="ru-RU"/>
        </w:rPr>
        <w:t>.</w:t>
      </w:r>
    </w:p>
    <w:p w:rsidR="00E650CE" w:rsidRPr="002E02A3" w:rsidRDefault="00E650CE" w:rsidP="00957CBA">
      <w:pPr>
        <w:ind w:right="-1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 xml:space="preserve">При публикации статей на </w:t>
      </w:r>
      <w:r>
        <w:rPr>
          <w:rFonts w:ascii="Times New Roman" w:hAnsi="Times New Roman"/>
          <w:sz w:val="22"/>
          <w:szCs w:val="22"/>
          <w:lang w:val="ru-RU"/>
        </w:rPr>
        <w:t>всех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 языках</w:t>
      </w:r>
      <w:r>
        <w:rPr>
          <w:rFonts w:ascii="Times New Roman" w:hAnsi="Times New Roman"/>
          <w:sz w:val="22"/>
          <w:szCs w:val="22"/>
          <w:lang w:val="ru-RU"/>
        </w:rPr>
        <w:t>, кроме русского,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 к статье прилагается название статьи и развернутая аннотация на русском языке. Аннотация для этих статей публикуется в журнале после названия статьи и входит в общий объем текста. </w:t>
      </w:r>
    </w:p>
    <w:p w:rsidR="00E650CE" w:rsidRPr="002E02A3" w:rsidRDefault="00E650CE" w:rsidP="00957CBA">
      <w:pPr>
        <w:ind w:right="-1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b/>
          <w:bCs/>
          <w:sz w:val="22"/>
          <w:szCs w:val="22"/>
          <w:lang w:val="ru-RU"/>
        </w:rPr>
        <w:t>Оформление справочного аппарата статьи: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 ссылки – концевые; в тексте используется только квадратные скобки </w:t>
      </w:r>
      <w:proofErr w:type="gramStart"/>
      <w:r w:rsidRPr="002E02A3">
        <w:rPr>
          <w:rFonts w:ascii="Times New Roman" w:hAnsi="Times New Roman"/>
          <w:sz w:val="22"/>
          <w:szCs w:val="22"/>
          <w:lang w:val="ru-RU"/>
        </w:rPr>
        <w:t>[ ]</w:t>
      </w:r>
      <w:proofErr w:type="gramEnd"/>
      <w:r w:rsidRPr="002E02A3">
        <w:rPr>
          <w:rFonts w:ascii="Times New Roman" w:hAnsi="Times New Roman"/>
          <w:sz w:val="22"/>
          <w:szCs w:val="22"/>
          <w:lang w:val="ru-RU"/>
        </w:rPr>
        <w:t xml:space="preserve">. Пример – [1], [2], [3] или [1, с. 12], [4, с. 318]. В предложении точка ставится после скобок. В конце статьи указывается использованные </w:t>
      </w:r>
      <w:r w:rsidRPr="002E02A3">
        <w:rPr>
          <w:rFonts w:ascii="Times New Roman" w:hAnsi="Times New Roman"/>
          <w:b/>
          <w:bCs/>
          <w:sz w:val="22"/>
          <w:szCs w:val="22"/>
          <w:lang w:val="ru-RU"/>
        </w:rPr>
        <w:t>Источники и литература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E650CE" w:rsidRPr="002E02A3" w:rsidRDefault="00E650CE" w:rsidP="00957CBA">
      <w:pPr>
        <w:ind w:firstLine="709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E02A3">
        <w:rPr>
          <w:rFonts w:ascii="Times New Roman" w:hAnsi="Times New Roman"/>
          <w:b/>
          <w:bCs/>
          <w:sz w:val="22"/>
          <w:szCs w:val="22"/>
          <w:lang w:val="ru-RU"/>
        </w:rPr>
        <w:t>Без соблюдения изложенных требований статьи не принимаются к публикации!!!</w:t>
      </w:r>
    </w:p>
    <w:p w:rsidR="00E650CE" w:rsidRPr="00E650CE" w:rsidRDefault="00E650CE" w:rsidP="00957CBA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650CE" w:rsidRPr="002E02A3" w:rsidRDefault="00E650CE" w:rsidP="00957CBA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E02A3">
        <w:rPr>
          <w:rFonts w:ascii="Times New Roman" w:hAnsi="Times New Roman"/>
          <w:b/>
          <w:sz w:val="22"/>
          <w:szCs w:val="22"/>
          <w:lang w:val="ru-RU"/>
        </w:rPr>
        <w:t>Образец оформления первой страницы (не входит в общий объем статьи):</w:t>
      </w:r>
    </w:p>
    <w:p w:rsidR="00E650CE" w:rsidRDefault="00E650CE" w:rsidP="00957CBA">
      <w:pPr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E650CE" w:rsidRPr="002E02A3" w:rsidRDefault="00E650CE" w:rsidP="00957CBA">
      <w:pPr>
        <w:outlineLvl w:val="0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>Секция № 4 Семантика и языковая концептуализация мира</w:t>
      </w:r>
    </w:p>
    <w:p w:rsidR="00E650CE" w:rsidRPr="002E02A3" w:rsidRDefault="00E650CE" w:rsidP="00957CBA">
      <w:pPr>
        <w:rPr>
          <w:rFonts w:ascii="Times New Roman" w:hAnsi="Times New Roman"/>
          <w:sz w:val="22"/>
          <w:szCs w:val="22"/>
          <w:lang w:val="ru-RU"/>
        </w:rPr>
      </w:pPr>
    </w:p>
    <w:p w:rsidR="00E650CE" w:rsidRPr="002E02A3" w:rsidRDefault="000D596C" w:rsidP="000D596C">
      <w:pPr>
        <w:pStyle w:val="2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>Иванов Иван</w:t>
      </w:r>
      <w:r w:rsidR="00E650CE" w:rsidRPr="002E02A3">
        <w:rPr>
          <w:rFonts w:ascii="Times New Roman" w:hAnsi="Times New Roman"/>
          <w:sz w:val="22"/>
          <w:szCs w:val="22"/>
          <w:lang w:val="ru-RU"/>
        </w:rPr>
        <w:t xml:space="preserve"> Иванович, кандидат филологических наук, </w:t>
      </w:r>
      <w:r w:rsidRPr="002E02A3">
        <w:rPr>
          <w:rFonts w:ascii="Times New Roman" w:hAnsi="Times New Roman"/>
          <w:sz w:val="22"/>
          <w:szCs w:val="22"/>
          <w:lang w:val="ru-RU"/>
        </w:rPr>
        <w:t>доцент кафедры</w:t>
      </w:r>
      <w:r w:rsidR="00E650CE" w:rsidRPr="002E02A3">
        <w:rPr>
          <w:rFonts w:ascii="Times New Roman" w:hAnsi="Times New Roman"/>
          <w:sz w:val="22"/>
          <w:szCs w:val="22"/>
          <w:lang w:val="ru-RU"/>
        </w:rPr>
        <w:t xml:space="preserve"> … (название кафедры и учебного заведения). </w:t>
      </w:r>
    </w:p>
    <w:p w:rsidR="00E650CE" w:rsidRPr="002E02A3" w:rsidRDefault="00E650CE" w:rsidP="00957CBA">
      <w:pPr>
        <w:rPr>
          <w:rFonts w:ascii="Times New Roman" w:hAnsi="Times New Roman"/>
          <w:sz w:val="22"/>
          <w:szCs w:val="22"/>
        </w:rPr>
      </w:pPr>
    </w:p>
    <w:p w:rsidR="00E650CE" w:rsidRPr="002E02A3" w:rsidRDefault="00E650CE" w:rsidP="00957CBA">
      <w:pPr>
        <w:pStyle w:val="3"/>
        <w:spacing w:after="0"/>
        <w:jc w:val="center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>ПРОБЛЕМЫ ПРОПРИАЛЬНОЙ НОМИНАЦИИ (НА МАТЕРИАЛЕ СЛАВЯНСКИХ ДЕГИДРОНИМИЧЕСКИХ ОЙКОНИМОВ)</w:t>
      </w:r>
    </w:p>
    <w:p w:rsidR="00E650CE" w:rsidRPr="002E02A3" w:rsidRDefault="00E650CE" w:rsidP="00957CBA">
      <w:pPr>
        <w:ind w:right="-1" w:firstLine="900"/>
        <w:jc w:val="both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 xml:space="preserve">   </w:t>
      </w:r>
      <w:r w:rsidR="000D596C" w:rsidRPr="002E02A3">
        <w:rPr>
          <w:rFonts w:ascii="Times New Roman" w:hAnsi="Times New Roman"/>
          <w:sz w:val="22"/>
          <w:szCs w:val="22"/>
          <w:lang w:val="ru-RU"/>
        </w:rPr>
        <w:t xml:space="preserve">Проблемы </w:t>
      </w:r>
      <w:proofErr w:type="spellStart"/>
      <w:r w:rsidR="000D596C" w:rsidRPr="002E02A3">
        <w:rPr>
          <w:rFonts w:ascii="Times New Roman" w:hAnsi="Times New Roman"/>
          <w:sz w:val="22"/>
          <w:szCs w:val="22"/>
          <w:lang w:val="ru-RU"/>
        </w:rPr>
        <w:t>проприальной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 номинации рассматриваются в аспекте общей теории номинации языковых единиц. Определяется специфика </w:t>
      </w:r>
      <w:proofErr w:type="spellStart"/>
      <w:r w:rsidR="000D596C" w:rsidRPr="002E02A3">
        <w:rPr>
          <w:rFonts w:ascii="Times New Roman" w:hAnsi="Times New Roman"/>
          <w:sz w:val="22"/>
          <w:szCs w:val="22"/>
          <w:lang w:val="ru-RU"/>
        </w:rPr>
        <w:t>проприальной</w:t>
      </w:r>
      <w:proofErr w:type="spellEnd"/>
      <w:r w:rsidR="000D596C" w:rsidRPr="002E02A3">
        <w:rPr>
          <w:rFonts w:ascii="Times New Roman" w:hAnsi="Times New Roman"/>
          <w:sz w:val="22"/>
          <w:szCs w:val="22"/>
          <w:lang w:val="ru-RU"/>
        </w:rPr>
        <w:t xml:space="preserve"> номинации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, а также принципы и способы номинации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ойконимов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0D596C" w:rsidRPr="002E02A3">
        <w:rPr>
          <w:rFonts w:ascii="Times New Roman" w:hAnsi="Times New Roman"/>
          <w:sz w:val="22"/>
          <w:szCs w:val="22"/>
          <w:lang w:val="ru-RU"/>
        </w:rPr>
        <w:t xml:space="preserve">Славянские </w:t>
      </w:r>
      <w:proofErr w:type="spellStart"/>
      <w:proofErr w:type="gramStart"/>
      <w:r w:rsidR="000D596C" w:rsidRPr="002E02A3">
        <w:rPr>
          <w:rFonts w:ascii="Times New Roman" w:hAnsi="Times New Roman"/>
          <w:sz w:val="22"/>
          <w:szCs w:val="22"/>
          <w:lang w:val="ru-RU"/>
        </w:rPr>
        <w:t>дегидронимические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 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ойконимы</w:t>
      </w:r>
      <w:proofErr w:type="spellEnd"/>
      <w:proofErr w:type="gramEnd"/>
      <w:r w:rsidRPr="002E02A3">
        <w:rPr>
          <w:rFonts w:ascii="Times New Roman" w:hAnsi="Times New Roman"/>
          <w:sz w:val="22"/>
          <w:szCs w:val="22"/>
          <w:lang w:val="ru-RU"/>
        </w:rPr>
        <w:t xml:space="preserve">  анализируются с позиций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ойконимной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 номинации. </w:t>
      </w:r>
      <w:r w:rsidR="000D596C" w:rsidRPr="002E02A3">
        <w:rPr>
          <w:rFonts w:ascii="Times New Roman" w:hAnsi="Times New Roman"/>
          <w:sz w:val="22"/>
          <w:szCs w:val="22"/>
          <w:lang w:val="ru-RU"/>
        </w:rPr>
        <w:t>Являясь частью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0D596C" w:rsidRPr="002E02A3">
        <w:rPr>
          <w:rFonts w:ascii="Times New Roman" w:hAnsi="Times New Roman"/>
          <w:sz w:val="22"/>
          <w:szCs w:val="22"/>
          <w:lang w:val="ru-RU"/>
        </w:rPr>
        <w:t>ойконимической</w:t>
      </w:r>
      <w:proofErr w:type="spellEnd"/>
      <w:r w:rsidR="000D596C" w:rsidRPr="002E02A3">
        <w:rPr>
          <w:rFonts w:ascii="Times New Roman" w:hAnsi="Times New Roman"/>
          <w:sz w:val="22"/>
          <w:szCs w:val="22"/>
          <w:lang w:val="ru-RU"/>
        </w:rPr>
        <w:t xml:space="preserve"> системы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, они имеют как общесистемные, так и специфические признаки, обусловленные особенностями топонимического обоснования географических названий данного типа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онимов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E650CE" w:rsidRPr="002E02A3" w:rsidRDefault="00E650CE" w:rsidP="00957CBA">
      <w:pPr>
        <w:ind w:right="-1" w:firstLine="900"/>
        <w:jc w:val="both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 xml:space="preserve">Ключевые сова: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апеллятив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ойконим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оним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проприальная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 номинация.</w:t>
      </w:r>
    </w:p>
    <w:p w:rsidR="00E650CE" w:rsidRPr="002E02A3" w:rsidRDefault="00E650CE" w:rsidP="00957CBA">
      <w:pPr>
        <w:ind w:right="-1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 xml:space="preserve">    </w:t>
      </w:r>
    </w:p>
    <w:p w:rsidR="00E650CE" w:rsidRPr="002E02A3" w:rsidRDefault="00E650CE" w:rsidP="00957CBA">
      <w:pPr>
        <w:pStyle w:val="3"/>
        <w:spacing w:after="0"/>
        <w:ind w:right="-1"/>
        <w:jc w:val="center"/>
        <w:rPr>
          <w:rFonts w:ascii="Times New Roman" w:hAnsi="Times New Roman"/>
          <w:sz w:val="22"/>
          <w:szCs w:val="22"/>
        </w:rPr>
      </w:pPr>
      <w:r w:rsidRPr="002E02A3">
        <w:rPr>
          <w:rFonts w:ascii="Times New Roman" w:hAnsi="Times New Roman"/>
          <w:sz w:val="22"/>
          <w:szCs w:val="22"/>
        </w:rPr>
        <w:t xml:space="preserve">PROBLEMS OF THE PROPER NAME’S </w:t>
      </w:r>
      <w:proofErr w:type="gramStart"/>
      <w:r w:rsidRPr="002E02A3">
        <w:rPr>
          <w:rFonts w:ascii="Times New Roman" w:hAnsi="Times New Roman"/>
          <w:sz w:val="22"/>
          <w:szCs w:val="22"/>
        </w:rPr>
        <w:t>NOMINATION(</w:t>
      </w:r>
      <w:proofErr w:type="gramEnd"/>
      <w:r w:rsidRPr="002E02A3">
        <w:rPr>
          <w:rFonts w:ascii="Times New Roman" w:hAnsi="Times New Roman"/>
          <w:sz w:val="22"/>
          <w:szCs w:val="22"/>
        </w:rPr>
        <w:t>BASED ON SLAVONIK HYDRONIMYC TOPONYMS)</w:t>
      </w:r>
    </w:p>
    <w:p w:rsidR="00E650CE" w:rsidRPr="002E02A3" w:rsidRDefault="00E650CE" w:rsidP="00957CBA">
      <w:pPr>
        <w:ind w:right="-1" w:firstLine="900"/>
        <w:jc w:val="both"/>
        <w:rPr>
          <w:rFonts w:ascii="Times New Roman" w:hAnsi="Times New Roman"/>
          <w:sz w:val="22"/>
          <w:szCs w:val="22"/>
        </w:rPr>
      </w:pPr>
      <w:r w:rsidRPr="002E02A3">
        <w:rPr>
          <w:rFonts w:ascii="Times New Roman" w:hAnsi="Times New Roman"/>
          <w:sz w:val="22"/>
          <w:szCs w:val="22"/>
        </w:rPr>
        <w:t xml:space="preserve">  </w:t>
      </w:r>
      <w:r w:rsidR="000D596C" w:rsidRPr="002E02A3">
        <w:rPr>
          <w:rFonts w:ascii="Times New Roman" w:hAnsi="Times New Roman"/>
          <w:sz w:val="22"/>
          <w:szCs w:val="22"/>
        </w:rPr>
        <w:t>The author examined</w:t>
      </w:r>
      <w:r w:rsidRPr="002E02A3">
        <w:rPr>
          <w:rFonts w:ascii="Times New Roman" w:hAnsi="Times New Roman"/>
          <w:sz w:val="22"/>
          <w:szCs w:val="22"/>
        </w:rPr>
        <w:t xml:space="preserve"> the problems of proper name’s </w:t>
      </w:r>
      <w:r w:rsidR="000D596C" w:rsidRPr="002E02A3">
        <w:rPr>
          <w:rFonts w:ascii="Times New Roman" w:hAnsi="Times New Roman"/>
          <w:sz w:val="22"/>
          <w:szCs w:val="22"/>
        </w:rPr>
        <w:t>nomination as</w:t>
      </w:r>
      <w:r w:rsidRPr="002E02A3">
        <w:rPr>
          <w:rFonts w:ascii="Times New Roman" w:hAnsi="Times New Roman"/>
          <w:sz w:val="22"/>
          <w:szCs w:val="22"/>
        </w:rPr>
        <w:t xml:space="preserve"> the part </w:t>
      </w:r>
      <w:r w:rsidR="000D596C" w:rsidRPr="002E02A3">
        <w:rPr>
          <w:rFonts w:ascii="Times New Roman" w:hAnsi="Times New Roman"/>
          <w:sz w:val="22"/>
          <w:szCs w:val="22"/>
        </w:rPr>
        <w:t xml:space="preserve">of </w:t>
      </w:r>
      <w:proofErr w:type="gramStart"/>
      <w:r w:rsidR="000D596C" w:rsidRPr="002E02A3">
        <w:rPr>
          <w:rFonts w:ascii="Times New Roman" w:hAnsi="Times New Roman"/>
          <w:sz w:val="22"/>
          <w:szCs w:val="22"/>
        </w:rPr>
        <w:t>general</w:t>
      </w:r>
      <w:r w:rsidRPr="002E02A3">
        <w:rPr>
          <w:rFonts w:ascii="Times New Roman" w:hAnsi="Times New Roman"/>
          <w:sz w:val="22"/>
          <w:szCs w:val="22"/>
        </w:rPr>
        <w:t xml:space="preserve">  theory</w:t>
      </w:r>
      <w:proofErr w:type="gramEnd"/>
      <w:r w:rsidRPr="002E02A3">
        <w:rPr>
          <w:rFonts w:ascii="Times New Roman" w:hAnsi="Times New Roman"/>
          <w:sz w:val="22"/>
          <w:szCs w:val="22"/>
        </w:rPr>
        <w:t xml:space="preserve"> of  </w:t>
      </w:r>
      <w:proofErr w:type="spellStart"/>
      <w:r w:rsidRPr="002E02A3">
        <w:rPr>
          <w:rFonts w:ascii="Times New Roman" w:hAnsi="Times New Roman"/>
          <w:sz w:val="22"/>
          <w:szCs w:val="22"/>
        </w:rPr>
        <w:t>linguistik</w:t>
      </w:r>
      <w:proofErr w:type="spellEnd"/>
      <w:r w:rsidRPr="002E02A3">
        <w:rPr>
          <w:rFonts w:ascii="Times New Roman" w:hAnsi="Times New Roman"/>
          <w:sz w:val="22"/>
          <w:szCs w:val="22"/>
        </w:rPr>
        <w:t xml:space="preserve">  nomination. Principles and methods of nomination of names of </w:t>
      </w:r>
      <w:r w:rsidR="000D596C" w:rsidRPr="002E02A3">
        <w:rPr>
          <w:rFonts w:ascii="Times New Roman" w:hAnsi="Times New Roman"/>
          <w:sz w:val="22"/>
          <w:szCs w:val="22"/>
        </w:rPr>
        <w:t xml:space="preserve">settlements </w:t>
      </w:r>
      <w:proofErr w:type="gramStart"/>
      <w:r w:rsidR="000D596C" w:rsidRPr="002E02A3">
        <w:rPr>
          <w:rFonts w:ascii="Times New Roman" w:hAnsi="Times New Roman"/>
          <w:sz w:val="22"/>
          <w:szCs w:val="22"/>
        </w:rPr>
        <w:t>are</w:t>
      </w:r>
      <w:r w:rsidRPr="002E02A3">
        <w:rPr>
          <w:rFonts w:ascii="Times New Roman" w:hAnsi="Times New Roman"/>
          <w:sz w:val="22"/>
          <w:szCs w:val="22"/>
        </w:rPr>
        <w:t xml:space="preserve"> </w:t>
      </w:r>
      <w:r w:rsidR="000D596C" w:rsidRPr="002E02A3">
        <w:rPr>
          <w:rFonts w:ascii="Times New Roman" w:hAnsi="Times New Roman"/>
          <w:sz w:val="22"/>
          <w:szCs w:val="22"/>
        </w:rPr>
        <w:t>formed</w:t>
      </w:r>
      <w:proofErr w:type="gramEnd"/>
      <w:r w:rsidR="000D596C" w:rsidRPr="002E02A3">
        <w:rPr>
          <w:rFonts w:ascii="Times New Roman" w:hAnsi="Times New Roman"/>
          <w:sz w:val="22"/>
          <w:szCs w:val="22"/>
        </w:rPr>
        <w:t xml:space="preserve"> in</w:t>
      </w:r>
      <w:r w:rsidRPr="002E02A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D596C" w:rsidRPr="002E02A3">
        <w:rPr>
          <w:rFonts w:ascii="Times New Roman" w:hAnsi="Times New Roman"/>
          <w:sz w:val="22"/>
          <w:szCs w:val="22"/>
        </w:rPr>
        <w:t>toponymic</w:t>
      </w:r>
      <w:proofErr w:type="spellEnd"/>
      <w:r w:rsidR="000D596C" w:rsidRPr="002E02A3">
        <w:rPr>
          <w:rFonts w:ascii="Times New Roman" w:hAnsi="Times New Roman"/>
          <w:sz w:val="22"/>
          <w:szCs w:val="22"/>
        </w:rPr>
        <w:t xml:space="preserve"> system</w:t>
      </w:r>
      <w:r w:rsidRPr="002E02A3">
        <w:rPr>
          <w:rFonts w:ascii="Times New Roman" w:hAnsi="Times New Roman"/>
          <w:sz w:val="22"/>
          <w:szCs w:val="22"/>
        </w:rPr>
        <w:t xml:space="preserve">. Slavonic </w:t>
      </w:r>
      <w:proofErr w:type="spellStart"/>
      <w:r w:rsidRPr="002E02A3">
        <w:rPr>
          <w:rFonts w:ascii="Times New Roman" w:hAnsi="Times New Roman"/>
          <w:sz w:val="22"/>
          <w:szCs w:val="22"/>
        </w:rPr>
        <w:t>Hydronymic</w:t>
      </w:r>
      <w:proofErr w:type="spellEnd"/>
      <w:r w:rsidRPr="002E02A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E02A3">
        <w:rPr>
          <w:rFonts w:ascii="Times New Roman" w:hAnsi="Times New Roman"/>
          <w:sz w:val="22"/>
          <w:szCs w:val="22"/>
        </w:rPr>
        <w:t>toponyms</w:t>
      </w:r>
      <w:proofErr w:type="spellEnd"/>
      <w:r w:rsidRPr="002E02A3">
        <w:rPr>
          <w:rFonts w:ascii="Times New Roman" w:hAnsi="Times New Roman"/>
          <w:sz w:val="22"/>
          <w:szCs w:val="22"/>
        </w:rPr>
        <w:t xml:space="preserve">  as  the members of  </w:t>
      </w:r>
      <w:proofErr w:type="spellStart"/>
      <w:r w:rsidRPr="002E02A3">
        <w:rPr>
          <w:rFonts w:ascii="Times New Roman" w:hAnsi="Times New Roman"/>
          <w:sz w:val="22"/>
          <w:szCs w:val="22"/>
        </w:rPr>
        <w:t>toponymic</w:t>
      </w:r>
      <w:proofErr w:type="spellEnd"/>
      <w:r w:rsidRPr="002E02A3">
        <w:rPr>
          <w:rFonts w:ascii="Times New Roman" w:hAnsi="Times New Roman"/>
          <w:sz w:val="22"/>
          <w:szCs w:val="22"/>
        </w:rPr>
        <w:t xml:space="preserve"> system have  their  </w:t>
      </w:r>
      <w:proofErr w:type="spellStart"/>
      <w:r w:rsidRPr="002E02A3">
        <w:rPr>
          <w:rFonts w:ascii="Times New Roman" w:hAnsi="Times New Roman"/>
          <w:sz w:val="22"/>
          <w:szCs w:val="22"/>
        </w:rPr>
        <w:t>spesific</w:t>
      </w:r>
      <w:proofErr w:type="spellEnd"/>
      <w:r w:rsidRPr="002E02A3">
        <w:rPr>
          <w:rFonts w:ascii="Times New Roman" w:hAnsi="Times New Roman"/>
          <w:sz w:val="22"/>
          <w:szCs w:val="22"/>
        </w:rPr>
        <w:t xml:space="preserve">  properties based  on  </w:t>
      </w:r>
      <w:proofErr w:type="spellStart"/>
      <w:r w:rsidRPr="002E02A3">
        <w:rPr>
          <w:rFonts w:ascii="Times New Roman" w:hAnsi="Times New Roman"/>
          <w:sz w:val="22"/>
          <w:szCs w:val="22"/>
        </w:rPr>
        <w:t>pecularity</w:t>
      </w:r>
      <w:proofErr w:type="spellEnd"/>
      <w:r w:rsidRPr="002E02A3">
        <w:rPr>
          <w:rFonts w:ascii="Times New Roman" w:hAnsi="Times New Roman"/>
          <w:sz w:val="22"/>
          <w:szCs w:val="22"/>
        </w:rPr>
        <w:t xml:space="preserve">  of  </w:t>
      </w:r>
      <w:proofErr w:type="spellStart"/>
      <w:r w:rsidRPr="002E02A3">
        <w:rPr>
          <w:rFonts w:ascii="Times New Roman" w:hAnsi="Times New Roman"/>
          <w:sz w:val="22"/>
          <w:szCs w:val="22"/>
        </w:rPr>
        <w:t>toponymic</w:t>
      </w:r>
      <w:proofErr w:type="spellEnd"/>
      <w:r w:rsidRPr="002E02A3">
        <w:rPr>
          <w:rFonts w:ascii="Times New Roman" w:hAnsi="Times New Roman"/>
          <w:sz w:val="22"/>
          <w:szCs w:val="22"/>
        </w:rPr>
        <w:t xml:space="preserve">  nomination.</w:t>
      </w:r>
    </w:p>
    <w:p w:rsidR="00E650CE" w:rsidRPr="00E650CE" w:rsidRDefault="00E650CE" w:rsidP="00957CBA">
      <w:pPr>
        <w:pStyle w:val="a5"/>
        <w:spacing w:after="0"/>
        <w:ind w:right="-1"/>
        <w:rPr>
          <w:rFonts w:ascii="Times New Roman" w:hAnsi="Times New Roman"/>
          <w:sz w:val="22"/>
          <w:szCs w:val="22"/>
        </w:rPr>
      </w:pPr>
      <w:r w:rsidRPr="002E02A3">
        <w:rPr>
          <w:rFonts w:ascii="Times New Roman" w:hAnsi="Times New Roman"/>
          <w:sz w:val="22"/>
          <w:szCs w:val="22"/>
        </w:rPr>
        <w:t xml:space="preserve">Key words: </w:t>
      </w:r>
      <w:r w:rsidR="000D596C" w:rsidRPr="002E02A3">
        <w:rPr>
          <w:rFonts w:ascii="Times New Roman" w:hAnsi="Times New Roman"/>
          <w:sz w:val="22"/>
          <w:szCs w:val="22"/>
        </w:rPr>
        <w:t>common noun</w:t>
      </w:r>
      <w:r w:rsidRPr="002E02A3">
        <w:rPr>
          <w:rFonts w:ascii="Times New Roman" w:hAnsi="Times New Roman"/>
          <w:sz w:val="22"/>
          <w:szCs w:val="22"/>
        </w:rPr>
        <w:t xml:space="preserve">, the proper name, </w:t>
      </w:r>
      <w:proofErr w:type="spellStart"/>
      <w:r w:rsidRPr="002E02A3">
        <w:rPr>
          <w:rFonts w:ascii="Times New Roman" w:hAnsi="Times New Roman"/>
          <w:sz w:val="22"/>
          <w:szCs w:val="22"/>
        </w:rPr>
        <w:t>toponym</w:t>
      </w:r>
      <w:proofErr w:type="spellEnd"/>
      <w:r w:rsidRPr="002E02A3">
        <w:rPr>
          <w:rFonts w:ascii="Times New Roman" w:hAnsi="Times New Roman"/>
          <w:sz w:val="22"/>
          <w:szCs w:val="22"/>
        </w:rPr>
        <w:t xml:space="preserve">, proper’s name nomination. </w:t>
      </w:r>
    </w:p>
    <w:p w:rsidR="00957CBA" w:rsidRDefault="00957CBA" w:rsidP="00957CBA">
      <w:pPr>
        <w:pStyle w:val="a5"/>
        <w:spacing w:after="0"/>
        <w:ind w:right="-1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650CE" w:rsidRDefault="00E650CE" w:rsidP="00957CBA">
      <w:pPr>
        <w:pStyle w:val="a5"/>
        <w:spacing w:after="0"/>
        <w:ind w:right="-1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E02A3">
        <w:rPr>
          <w:rFonts w:ascii="Times New Roman" w:hAnsi="Times New Roman"/>
          <w:b/>
          <w:sz w:val="22"/>
          <w:szCs w:val="22"/>
          <w:lang w:val="ru-RU"/>
        </w:rPr>
        <w:t>Образец оформления списка литературы</w:t>
      </w:r>
    </w:p>
    <w:p w:rsidR="00957CBA" w:rsidRPr="002E02A3" w:rsidRDefault="00957CBA" w:rsidP="00957CBA">
      <w:pPr>
        <w:pStyle w:val="a5"/>
        <w:spacing w:after="0"/>
        <w:ind w:right="-1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650CE" w:rsidRPr="002E02A3" w:rsidRDefault="00E650CE" w:rsidP="00957CBA">
      <w:pPr>
        <w:pStyle w:val="a5"/>
        <w:keepNext/>
        <w:widowControl w:val="0"/>
        <w:spacing w:after="0" w:line="209" w:lineRule="auto"/>
        <w:ind w:left="0" w:right="-1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E02A3">
        <w:rPr>
          <w:rFonts w:ascii="Times New Roman" w:hAnsi="Times New Roman"/>
          <w:b/>
          <w:bCs/>
          <w:sz w:val="22"/>
          <w:szCs w:val="22"/>
          <w:lang w:val="ru-RU"/>
        </w:rPr>
        <w:t>Источники и литература</w:t>
      </w:r>
    </w:p>
    <w:p w:rsidR="00E650CE" w:rsidRPr="002E02A3" w:rsidRDefault="00E650CE" w:rsidP="00957CBA">
      <w:pPr>
        <w:pStyle w:val="a5"/>
        <w:keepNext/>
        <w:widowControl w:val="0"/>
        <w:numPr>
          <w:ilvl w:val="0"/>
          <w:numId w:val="2"/>
        </w:numPr>
        <w:spacing w:after="0" w:line="209" w:lineRule="auto"/>
        <w:ind w:left="714" w:right="-1" w:hanging="357"/>
        <w:jc w:val="both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>Акимова Г. Н. Экспрессивные свойства синтаксических структур / Г. Н. Акимова // Предложение и текст: семантика, прагматика и синтаксис. – Л.: Изд-во Лен. Унив., 1988. – С. 15-20.</w:t>
      </w:r>
    </w:p>
    <w:p w:rsidR="00E650CE" w:rsidRPr="002E02A3" w:rsidRDefault="00E650CE" w:rsidP="00957CBA">
      <w:pPr>
        <w:pStyle w:val="a5"/>
        <w:keepNext/>
        <w:widowControl w:val="0"/>
        <w:numPr>
          <w:ilvl w:val="0"/>
          <w:numId w:val="2"/>
        </w:numPr>
        <w:overflowPunct/>
        <w:autoSpaceDE/>
        <w:autoSpaceDN/>
        <w:adjustRightInd/>
        <w:spacing w:after="0" w:line="216" w:lineRule="auto"/>
        <w:ind w:left="714" w:right="-1" w:hanging="357"/>
        <w:jc w:val="both"/>
        <w:textAlignment w:val="auto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 xml:space="preserve">Бессонова Ю. А. К вопросу о методике компонентного анализа диалектных глаголов речи / Ю. А. Бессонова // [Электронный ресурс]. – Режим доступа: </w:t>
      </w:r>
      <w:hyperlink r:id="rId6" w:history="1"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http</w:t>
        </w:r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://</w:t>
        </w:r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www</w:t>
        </w:r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vestnik</w:t>
        </w:r>
        <w:proofErr w:type="spellEnd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vsu</w:t>
        </w:r>
        <w:proofErr w:type="spellEnd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.</w:t>
        </w:r>
        <w:proofErr w:type="spellStart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ru</w:t>
        </w:r>
        <w:proofErr w:type="spellEnd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/</w:t>
        </w:r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pdf</w:t>
        </w:r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/</w:t>
        </w:r>
        <w:proofErr w:type="spellStart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lingvo</w:t>
        </w:r>
        <w:proofErr w:type="spellEnd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/2008/02/</w:t>
        </w:r>
        <w:proofErr w:type="spellStart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bessonova</w:t>
        </w:r>
        <w:proofErr w:type="spellEnd"/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  <w:lang w:val="ru-RU"/>
          </w:rPr>
          <w:t>.</w:t>
        </w:r>
        <w:r w:rsidRPr="00957CBA">
          <w:rPr>
            <w:rStyle w:val="a4"/>
            <w:rFonts w:ascii="Times New Roman" w:hAnsi="Times New Roman"/>
            <w:color w:val="auto"/>
            <w:sz w:val="22"/>
            <w:szCs w:val="22"/>
            <w:u w:val="none"/>
          </w:rPr>
          <w:t>pdf</w:t>
        </w:r>
      </w:hyperlink>
      <w:r w:rsidRPr="002E02A3">
        <w:rPr>
          <w:rFonts w:ascii="Times New Roman" w:hAnsi="Times New Roman"/>
          <w:sz w:val="22"/>
          <w:szCs w:val="22"/>
          <w:lang w:val="ru-RU"/>
        </w:rPr>
        <w:t xml:space="preserve"> (08.02.2011).</w:t>
      </w:r>
    </w:p>
    <w:p w:rsidR="00E650CE" w:rsidRPr="002E02A3" w:rsidRDefault="00E650CE" w:rsidP="00957CBA">
      <w:pPr>
        <w:pStyle w:val="a5"/>
        <w:keepNext/>
        <w:widowControl w:val="0"/>
        <w:numPr>
          <w:ilvl w:val="0"/>
          <w:numId w:val="2"/>
        </w:numPr>
        <w:overflowPunct/>
        <w:autoSpaceDE/>
        <w:autoSpaceDN/>
        <w:adjustRightInd/>
        <w:spacing w:after="0" w:line="216" w:lineRule="auto"/>
        <w:ind w:left="714" w:right="-1" w:hanging="357"/>
        <w:jc w:val="both"/>
        <w:textAlignment w:val="auto"/>
        <w:rPr>
          <w:rFonts w:ascii="Times New Roman" w:hAnsi="Times New Roman"/>
          <w:sz w:val="22"/>
          <w:szCs w:val="22"/>
          <w:lang w:val="uk-UA"/>
        </w:rPr>
      </w:pP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Забашта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 Р. В. </w:t>
      </w:r>
      <w:r w:rsidRPr="002E02A3">
        <w:rPr>
          <w:rFonts w:ascii="Times New Roman" w:hAnsi="Times New Roman"/>
          <w:sz w:val="22"/>
          <w:szCs w:val="22"/>
          <w:lang w:val="uk-UA"/>
        </w:rPr>
        <w:t xml:space="preserve">Функціональна ідеографія як засіб опису лексики (на матеріалі номінативних одиниць зі значенням </w:t>
      </w:r>
      <w:r w:rsidRPr="002E02A3">
        <w:rPr>
          <w:rFonts w:ascii="Times New Roman" w:hAnsi="Times New Roman"/>
          <w:sz w:val="22"/>
          <w:szCs w:val="22"/>
          <w:lang w:val="ru-RU"/>
        </w:rPr>
        <w:t>‘</w:t>
      </w:r>
      <w:r w:rsidRPr="002E02A3">
        <w:rPr>
          <w:rFonts w:ascii="Times New Roman" w:hAnsi="Times New Roman"/>
          <w:sz w:val="22"/>
          <w:szCs w:val="22"/>
          <w:lang w:val="uk-UA"/>
        </w:rPr>
        <w:t>особа</w:t>
      </w:r>
      <w:r w:rsidRPr="002E02A3">
        <w:rPr>
          <w:rFonts w:ascii="Times New Roman" w:hAnsi="Times New Roman"/>
          <w:sz w:val="22"/>
          <w:szCs w:val="22"/>
          <w:lang w:val="ru-RU"/>
        </w:rPr>
        <w:t>’</w:t>
      </w:r>
      <w:r w:rsidRPr="002E02A3">
        <w:rPr>
          <w:rFonts w:ascii="Times New Roman" w:hAnsi="Times New Roman"/>
          <w:sz w:val="22"/>
          <w:szCs w:val="22"/>
          <w:lang w:val="uk-UA"/>
        </w:rPr>
        <w:t xml:space="preserve"> в сучасній російській мові</w:t>
      </w:r>
      <w:proofErr w:type="gramStart"/>
      <w:r w:rsidRPr="002E02A3">
        <w:rPr>
          <w:rFonts w:ascii="Times New Roman" w:hAnsi="Times New Roman"/>
          <w:sz w:val="22"/>
          <w:szCs w:val="22"/>
          <w:lang w:val="uk-UA"/>
        </w:rPr>
        <w:t>) :</w:t>
      </w:r>
      <w:proofErr w:type="gramEnd"/>
      <w:r w:rsidRPr="002E02A3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автореферат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дис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. на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здобуття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 наук.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ступеня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 канд.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філол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>. наук : спец. 10.02.</w:t>
      </w:r>
      <w:r w:rsidRPr="002E02A3">
        <w:rPr>
          <w:rFonts w:ascii="Times New Roman" w:hAnsi="Times New Roman"/>
          <w:sz w:val="22"/>
          <w:szCs w:val="22"/>
          <w:lang w:val="uk-UA"/>
        </w:rPr>
        <w:t>02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 «</w:t>
      </w:r>
      <w:r w:rsidRPr="002E02A3">
        <w:rPr>
          <w:rFonts w:ascii="Times New Roman" w:hAnsi="Times New Roman"/>
          <w:sz w:val="22"/>
          <w:szCs w:val="22"/>
          <w:lang w:val="uk-UA"/>
        </w:rPr>
        <w:t>Російська мова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» / </w:t>
      </w:r>
      <w:r w:rsidRPr="002E02A3">
        <w:rPr>
          <w:rFonts w:ascii="Times New Roman" w:hAnsi="Times New Roman"/>
          <w:sz w:val="22"/>
          <w:szCs w:val="22"/>
          <w:lang w:val="uk-UA"/>
        </w:rPr>
        <w:t>Р. В. Забашта</w:t>
      </w:r>
      <w:r w:rsidRPr="002E02A3">
        <w:rPr>
          <w:rFonts w:ascii="Times New Roman" w:hAnsi="Times New Roman"/>
          <w:sz w:val="22"/>
          <w:szCs w:val="22"/>
          <w:lang w:val="ru-RU"/>
        </w:rPr>
        <w:t xml:space="preserve">. – </w:t>
      </w:r>
      <w:r w:rsidRPr="002E02A3">
        <w:rPr>
          <w:rFonts w:ascii="Times New Roman" w:hAnsi="Times New Roman"/>
          <w:sz w:val="22"/>
          <w:szCs w:val="22"/>
          <w:lang w:val="uk-UA"/>
        </w:rPr>
        <w:t>Дніпропетровськ</w:t>
      </w:r>
      <w:r w:rsidRPr="002E02A3">
        <w:rPr>
          <w:rFonts w:ascii="Times New Roman" w:hAnsi="Times New Roman"/>
          <w:sz w:val="22"/>
          <w:szCs w:val="22"/>
          <w:lang w:val="ru-RU"/>
        </w:rPr>
        <w:t>, 200</w:t>
      </w:r>
      <w:r w:rsidRPr="002E02A3">
        <w:rPr>
          <w:rFonts w:ascii="Times New Roman" w:hAnsi="Times New Roman"/>
          <w:sz w:val="22"/>
          <w:szCs w:val="22"/>
          <w:lang w:val="uk-UA"/>
        </w:rPr>
        <w:t>9</w:t>
      </w:r>
      <w:r w:rsidRPr="002E02A3">
        <w:rPr>
          <w:rFonts w:ascii="Times New Roman" w:hAnsi="Times New Roman"/>
          <w:sz w:val="22"/>
          <w:szCs w:val="22"/>
          <w:lang w:val="ru-RU"/>
        </w:rPr>
        <w:t>. – 1</w:t>
      </w:r>
      <w:r w:rsidRPr="002E02A3">
        <w:rPr>
          <w:rFonts w:ascii="Times New Roman" w:hAnsi="Times New Roman"/>
          <w:sz w:val="22"/>
          <w:szCs w:val="22"/>
          <w:lang w:val="uk-UA"/>
        </w:rPr>
        <w:t xml:space="preserve">9 </w:t>
      </w:r>
      <w:r w:rsidRPr="002E02A3">
        <w:rPr>
          <w:rFonts w:ascii="Times New Roman" w:hAnsi="Times New Roman"/>
          <w:sz w:val="22"/>
          <w:szCs w:val="22"/>
          <w:lang w:val="ru-RU"/>
        </w:rPr>
        <w:t>с.</w:t>
      </w:r>
    </w:p>
    <w:p w:rsidR="00E650CE" w:rsidRPr="002E02A3" w:rsidRDefault="00E650CE" w:rsidP="00957CBA">
      <w:pPr>
        <w:pStyle w:val="a5"/>
        <w:keepNext/>
        <w:widowControl w:val="0"/>
        <w:numPr>
          <w:ilvl w:val="0"/>
          <w:numId w:val="2"/>
        </w:numPr>
        <w:overflowPunct/>
        <w:autoSpaceDE/>
        <w:autoSpaceDN/>
        <w:adjustRightInd/>
        <w:spacing w:after="0" w:line="216" w:lineRule="auto"/>
        <w:ind w:left="714" w:right="-1" w:hanging="357"/>
        <w:jc w:val="both"/>
        <w:textAlignment w:val="auto"/>
        <w:rPr>
          <w:rFonts w:ascii="Times New Roman" w:hAnsi="Times New Roman"/>
          <w:sz w:val="22"/>
          <w:szCs w:val="22"/>
          <w:lang w:val="uk-UA"/>
        </w:rPr>
      </w:pPr>
      <w:proofErr w:type="spellStart"/>
      <w:r w:rsidRPr="002E02A3">
        <w:rPr>
          <w:rFonts w:ascii="Times New Roman" w:hAnsi="Times New Roman"/>
          <w:sz w:val="22"/>
          <w:szCs w:val="22"/>
          <w:lang w:val="uk-UA"/>
        </w:rPr>
        <w:t>Лейчик</w:t>
      </w:r>
      <w:proofErr w:type="spellEnd"/>
      <w:r w:rsidRPr="002E02A3">
        <w:rPr>
          <w:rFonts w:ascii="Times New Roman" w:hAnsi="Times New Roman"/>
          <w:sz w:val="22"/>
          <w:szCs w:val="22"/>
          <w:lang w:val="uk-UA"/>
        </w:rPr>
        <w:t xml:space="preserve"> В. М. О </w:t>
      </w:r>
      <w:proofErr w:type="spellStart"/>
      <w:r w:rsidRPr="002E02A3">
        <w:rPr>
          <w:rFonts w:ascii="Times New Roman" w:hAnsi="Times New Roman"/>
          <w:sz w:val="22"/>
          <w:szCs w:val="22"/>
          <w:lang w:val="uk-UA"/>
        </w:rPr>
        <w:t>языковом</w:t>
      </w:r>
      <w:proofErr w:type="spellEnd"/>
      <w:r w:rsidRPr="002E02A3">
        <w:rPr>
          <w:rFonts w:ascii="Times New Roman" w:hAnsi="Times New Roman"/>
          <w:sz w:val="22"/>
          <w:szCs w:val="22"/>
          <w:lang w:val="uk-UA"/>
        </w:rPr>
        <w:t xml:space="preserve">  субстрате </w:t>
      </w:r>
      <w:proofErr w:type="spellStart"/>
      <w:r w:rsidRPr="002E02A3">
        <w:rPr>
          <w:rFonts w:ascii="Times New Roman" w:hAnsi="Times New Roman"/>
          <w:sz w:val="22"/>
          <w:szCs w:val="22"/>
          <w:lang w:val="uk-UA"/>
        </w:rPr>
        <w:t>термина</w:t>
      </w:r>
      <w:proofErr w:type="spellEnd"/>
      <w:r w:rsidRPr="002E02A3">
        <w:rPr>
          <w:rFonts w:ascii="Times New Roman" w:hAnsi="Times New Roman"/>
          <w:sz w:val="22"/>
          <w:szCs w:val="22"/>
          <w:lang w:val="uk-UA"/>
        </w:rPr>
        <w:t xml:space="preserve"> / В. М. </w:t>
      </w:r>
      <w:proofErr w:type="spellStart"/>
      <w:r w:rsidRPr="002E02A3">
        <w:rPr>
          <w:rFonts w:ascii="Times New Roman" w:hAnsi="Times New Roman"/>
          <w:sz w:val="22"/>
          <w:szCs w:val="22"/>
          <w:lang w:val="uk-UA"/>
        </w:rPr>
        <w:t>Лейчик</w:t>
      </w:r>
      <w:proofErr w:type="spellEnd"/>
      <w:r w:rsidRPr="002E02A3">
        <w:rPr>
          <w:rFonts w:ascii="Times New Roman" w:hAnsi="Times New Roman"/>
          <w:sz w:val="22"/>
          <w:szCs w:val="22"/>
          <w:lang w:val="uk-UA"/>
        </w:rPr>
        <w:t xml:space="preserve"> // </w:t>
      </w:r>
      <w:proofErr w:type="spellStart"/>
      <w:r w:rsidRPr="002E02A3">
        <w:rPr>
          <w:rFonts w:ascii="Times New Roman" w:hAnsi="Times New Roman"/>
          <w:sz w:val="22"/>
          <w:szCs w:val="22"/>
          <w:lang w:val="uk-UA"/>
        </w:rPr>
        <w:t>Вопросы</w:t>
      </w:r>
      <w:proofErr w:type="spellEnd"/>
      <w:r w:rsidRPr="002E02A3">
        <w:rPr>
          <w:rFonts w:ascii="Times New Roman" w:hAnsi="Times New Roman"/>
          <w:sz w:val="22"/>
          <w:szCs w:val="22"/>
          <w:lang w:val="uk-UA"/>
        </w:rPr>
        <w:t xml:space="preserve"> </w:t>
      </w:r>
      <w:proofErr w:type="spellStart"/>
      <w:r w:rsidRPr="002E02A3">
        <w:rPr>
          <w:rFonts w:ascii="Times New Roman" w:hAnsi="Times New Roman"/>
          <w:sz w:val="22"/>
          <w:szCs w:val="22"/>
          <w:lang w:val="uk-UA"/>
        </w:rPr>
        <w:t>языкознания</w:t>
      </w:r>
      <w:proofErr w:type="spellEnd"/>
      <w:r w:rsidRPr="002E02A3">
        <w:rPr>
          <w:rFonts w:ascii="Times New Roman" w:hAnsi="Times New Roman"/>
          <w:sz w:val="22"/>
          <w:szCs w:val="22"/>
          <w:lang w:val="uk-UA"/>
        </w:rPr>
        <w:t xml:space="preserve">. – М., 1986. – № 5. – С. 87-97. </w:t>
      </w:r>
    </w:p>
    <w:p w:rsidR="00E650CE" w:rsidRPr="002E02A3" w:rsidRDefault="00E650CE" w:rsidP="00957CBA">
      <w:pPr>
        <w:pStyle w:val="a5"/>
        <w:keepNext/>
        <w:widowControl w:val="0"/>
        <w:numPr>
          <w:ilvl w:val="0"/>
          <w:numId w:val="2"/>
        </w:numPr>
        <w:overflowPunct/>
        <w:autoSpaceDE/>
        <w:autoSpaceDN/>
        <w:adjustRightInd/>
        <w:spacing w:after="0" w:line="216" w:lineRule="auto"/>
        <w:ind w:left="714" w:right="-1" w:hanging="357"/>
        <w:jc w:val="both"/>
        <w:textAlignment w:val="auto"/>
        <w:rPr>
          <w:rFonts w:ascii="Times New Roman" w:hAnsi="Times New Roman"/>
          <w:sz w:val="22"/>
          <w:szCs w:val="22"/>
          <w:lang w:val="uk-UA"/>
        </w:rPr>
      </w:pPr>
      <w:proofErr w:type="spellStart"/>
      <w:r w:rsidRPr="002E02A3">
        <w:rPr>
          <w:rFonts w:ascii="Times New Roman" w:hAnsi="Times New Roman"/>
          <w:sz w:val="22"/>
          <w:szCs w:val="22"/>
          <w:lang w:val="uk-UA"/>
        </w:rPr>
        <w:t>Ніконова</w:t>
      </w:r>
      <w:proofErr w:type="spellEnd"/>
      <w:r w:rsidRPr="002E02A3">
        <w:rPr>
          <w:rFonts w:ascii="Times New Roman" w:hAnsi="Times New Roman"/>
          <w:sz w:val="22"/>
          <w:szCs w:val="22"/>
          <w:lang w:val="uk-UA"/>
        </w:rPr>
        <w:t xml:space="preserve"> В. Г. Трагедійна картина світу в поетиці Шекспіра: Монографія / В. Г. </w:t>
      </w:r>
      <w:proofErr w:type="spellStart"/>
      <w:r w:rsidRPr="002E02A3">
        <w:rPr>
          <w:rFonts w:ascii="Times New Roman" w:hAnsi="Times New Roman"/>
          <w:sz w:val="22"/>
          <w:szCs w:val="22"/>
          <w:lang w:val="uk-UA"/>
        </w:rPr>
        <w:t>Ніконова</w:t>
      </w:r>
      <w:proofErr w:type="spellEnd"/>
      <w:r w:rsidRPr="002E02A3">
        <w:rPr>
          <w:rFonts w:ascii="Times New Roman" w:hAnsi="Times New Roman"/>
          <w:sz w:val="22"/>
          <w:szCs w:val="22"/>
          <w:lang w:val="uk-UA"/>
        </w:rPr>
        <w:t xml:space="preserve">. – Дніпропетровськ: Вид-во </w:t>
      </w:r>
      <w:r w:rsidRPr="002E02A3">
        <w:rPr>
          <w:rFonts w:ascii="Times New Roman" w:hAnsi="Times New Roman"/>
          <w:spacing w:val="-8"/>
          <w:sz w:val="22"/>
          <w:szCs w:val="22"/>
          <w:lang w:val="uk-UA"/>
        </w:rPr>
        <w:t>ДУЕП, 2007. – 364 с.</w:t>
      </w:r>
    </w:p>
    <w:p w:rsidR="00E650CE" w:rsidRPr="002E02A3" w:rsidRDefault="00E650CE" w:rsidP="00957CBA">
      <w:pPr>
        <w:pStyle w:val="a5"/>
        <w:keepNext/>
        <w:widowControl w:val="0"/>
        <w:numPr>
          <w:ilvl w:val="0"/>
          <w:numId w:val="2"/>
        </w:numPr>
        <w:overflowPunct/>
        <w:autoSpaceDE/>
        <w:autoSpaceDN/>
        <w:adjustRightInd/>
        <w:spacing w:after="0" w:line="216" w:lineRule="auto"/>
        <w:ind w:left="714" w:right="-1" w:hanging="357"/>
        <w:jc w:val="both"/>
        <w:textAlignment w:val="auto"/>
        <w:rPr>
          <w:rFonts w:ascii="Times New Roman" w:hAnsi="Times New Roman"/>
          <w:sz w:val="22"/>
          <w:szCs w:val="22"/>
          <w:lang w:val="uk-UA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 xml:space="preserve">Попова З. Д. Когнитивная лингвистика / З. Д. Попова, И. А.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Стернин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>. – М.: АСТ: Восток-Запад, 2007. – 314 с. – (Лингвистика и межкультурная коммуникация. Золотая серия).</w:t>
      </w:r>
    </w:p>
    <w:p w:rsidR="00E650CE" w:rsidRPr="002E02A3" w:rsidRDefault="00E650CE" w:rsidP="00957CBA">
      <w:pPr>
        <w:pStyle w:val="a5"/>
        <w:keepNext/>
        <w:widowControl w:val="0"/>
        <w:numPr>
          <w:ilvl w:val="0"/>
          <w:numId w:val="2"/>
        </w:numPr>
        <w:overflowPunct/>
        <w:autoSpaceDE/>
        <w:autoSpaceDN/>
        <w:adjustRightInd/>
        <w:spacing w:after="0" w:line="216" w:lineRule="auto"/>
        <w:ind w:left="714" w:right="-1" w:hanging="357"/>
        <w:jc w:val="both"/>
        <w:textAlignment w:val="auto"/>
        <w:rPr>
          <w:rFonts w:ascii="Times New Roman" w:hAnsi="Times New Roman"/>
          <w:sz w:val="22"/>
          <w:szCs w:val="22"/>
          <w:lang w:val="ru-RU"/>
        </w:rPr>
      </w:pPr>
      <w:r w:rsidRPr="002E02A3">
        <w:rPr>
          <w:rFonts w:ascii="Times New Roman" w:hAnsi="Times New Roman"/>
          <w:sz w:val="22"/>
          <w:szCs w:val="22"/>
          <w:lang w:val="ru-RU"/>
        </w:rPr>
        <w:t xml:space="preserve">Словарь терминов рыночной экономики / М. В. </w:t>
      </w:r>
      <w:proofErr w:type="spellStart"/>
      <w:r w:rsidRPr="002E02A3">
        <w:rPr>
          <w:rFonts w:ascii="Times New Roman" w:hAnsi="Times New Roman"/>
          <w:sz w:val="22"/>
          <w:szCs w:val="22"/>
          <w:lang w:val="ru-RU"/>
        </w:rPr>
        <w:t>Лукашевский</w:t>
      </w:r>
      <w:proofErr w:type="spellEnd"/>
      <w:r w:rsidRPr="002E02A3">
        <w:rPr>
          <w:rFonts w:ascii="Times New Roman" w:hAnsi="Times New Roman"/>
          <w:sz w:val="22"/>
          <w:szCs w:val="22"/>
          <w:lang w:val="ru-RU"/>
        </w:rPr>
        <w:t xml:space="preserve"> [и др.]. – М.: Менеджер, 1991. – 285 с. </w:t>
      </w:r>
    </w:p>
    <w:p w:rsidR="00E650CE" w:rsidRPr="00E650CE" w:rsidRDefault="00E650CE" w:rsidP="00957CBA">
      <w:pPr>
        <w:rPr>
          <w:lang w:val="ru-RU"/>
        </w:rPr>
      </w:pPr>
    </w:p>
    <w:sectPr w:rsidR="00E650CE" w:rsidRPr="00E650CE" w:rsidSect="00957CBA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5387A"/>
    <w:multiLevelType w:val="hybridMultilevel"/>
    <w:tmpl w:val="BFB884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9A38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F61472"/>
    <w:multiLevelType w:val="hybridMultilevel"/>
    <w:tmpl w:val="CFBA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5"/>
    <w:rsid w:val="000202DC"/>
    <w:rsid w:val="00061447"/>
    <w:rsid w:val="000B7CEA"/>
    <w:rsid w:val="000D596C"/>
    <w:rsid w:val="00246E08"/>
    <w:rsid w:val="003A7E1B"/>
    <w:rsid w:val="009128C5"/>
    <w:rsid w:val="00957CBA"/>
    <w:rsid w:val="00BD5834"/>
    <w:rsid w:val="00C71C3A"/>
    <w:rsid w:val="00CE6239"/>
    <w:rsid w:val="00E650CE"/>
    <w:rsid w:val="00F6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3278D1-7610-4960-A35C-7FA40DA8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C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1B"/>
    <w:pPr>
      <w:ind w:left="720"/>
      <w:contextualSpacing/>
    </w:pPr>
  </w:style>
  <w:style w:type="character" w:styleId="a4">
    <w:name w:val="Hyperlink"/>
    <w:rsid w:val="00E650CE"/>
    <w:rPr>
      <w:color w:val="0000FF"/>
      <w:u w:val="single"/>
    </w:rPr>
  </w:style>
  <w:style w:type="paragraph" w:styleId="2">
    <w:name w:val="Body Text 2"/>
    <w:basedOn w:val="a"/>
    <w:link w:val="20"/>
    <w:rsid w:val="00E650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50CE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E650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50CE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a5">
    <w:name w:val="Body Text Indent"/>
    <w:basedOn w:val="a"/>
    <w:link w:val="a6"/>
    <w:rsid w:val="00E650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650CE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nik.vsu.ru/pdf/lingvo/2008/02/bessonova.pdf" TargetMode="External"/><Relationship Id="rId5" Type="http://schemas.openxmlformats.org/officeDocument/2006/relationships/hyperlink" Target="mailto:suprych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Links>
    <vt:vector size="12" baseType="variant"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http://www.vestnik.vsu.ru/pdf/lingvo/2008/02/bessonova.pdf</vt:lpwstr>
      </vt:variant>
      <vt:variant>
        <vt:lpwstr/>
      </vt:variant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mailto:suprychev@mail.ru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2016-07-12T08:54:00Z</dcterms:created>
  <dcterms:modified xsi:type="dcterms:W3CDTF">2016-07-12T08:54:00Z</dcterms:modified>
</cp:coreProperties>
</file>